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4C15" w:rsidRPr="00BA72A8" w:rsidRDefault="00440AFE" w:rsidP="00BA72A8">
      <w:pPr>
        <w:jc w:val="center"/>
        <w:rPr>
          <w:b/>
        </w:rPr>
      </w:pPr>
      <w:r>
        <w:rPr>
          <w:noProof/>
        </w:rPr>
        <w:drawing>
          <wp:anchor distT="0" distB="0" distL="114300" distR="114300" simplePos="0" relativeHeight="251657216" behindDoc="0" locked="0" layoutInCell="1" allowOverlap="1">
            <wp:simplePos x="0" y="0"/>
            <wp:positionH relativeFrom="column">
              <wp:align>left</wp:align>
            </wp:positionH>
            <wp:positionV relativeFrom="paragraph">
              <wp:align>top</wp:align>
            </wp:positionV>
            <wp:extent cx="1158875" cy="845185"/>
            <wp:effectExtent l="0" t="0" r="0" b="0"/>
            <wp:wrapSquare wrapText="bothSides"/>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875" cy="845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4C15" w:rsidRPr="00BA72A8">
        <w:rPr>
          <w:b/>
          <w:sz w:val="52"/>
          <w:szCs w:val="52"/>
        </w:rPr>
        <w:t>Council Tax 20</w:t>
      </w:r>
      <w:r w:rsidR="008E7759">
        <w:rPr>
          <w:b/>
          <w:sz w:val="52"/>
          <w:szCs w:val="52"/>
        </w:rPr>
        <w:t>2</w:t>
      </w:r>
      <w:r w:rsidR="00E71995">
        <w:rPr>
          <w:b/>
          <w:sz w:val="52"/>
          <w:szCs w:val="52"/>
        </w:rPr>
        <w:t>4</w:t>
      </w:r>
      <w:r w:rsidR="00034C15" w:rsidRPr="00BA72A8">
        <w:rPr>
          <w:b/>
          <w:sz w:val="52"/>
          <w:szCs w:val="52"/>
        </w:rPr>
        <w:t>/</w:t>
      </w:r>
      <w:r w:rsidR="008E7759">
        <w:rPr>
          <w:b/>
          <w:sz w:val="52"/>
          <w:szCs w:val="52"/>
        </w:rPr>
        <w:t>2</w:t>
      </w:r>
      <w:r w:rsidR="00E71995">
        <w:rPr>
          <w:b/>
          <w:sz w:val="52"/>
          <w:szCs w:val="52"/>
        </w:rPr>
        <w:t>5</w:t>
      </w:r>
      <w:r w:rsidR="00034C15" w:rsidRPr="00BA72A8">
        <w:rPr>
          <w:b/>
          <w:sz w:val="52"/>
          <w:szCs w:val="52"/>
        </w:rPr>
        <w:br w:type="textWrapping" w:clear="all"/>
      </w:r>
    </w:p>
    <w:p w:rsidR="00034C15" w:rsidRPr="00BE1FE7" w:rsidRDefault="00034C15" w:rsidP="00876057">
      <w:pPr>
        <w:pStyle w:val="Heading2"/>
      </w:pPr>
      <w:r w:rsidRPr="00BE1FE7">
        <w:t>Contents</w:t>
      </w:r>
    </w:p>
    <w:p w:rsidR="00940686" w:rsidRDefault="00940686" w:rsidP="007E385F">
      <w:pPr>
        <w:pStyle w:val="TOC1"/>
      </w:pPr>
    </w:p>
    <w:p w:rsidR="00500F2D" w:rsidRPr="001E640A" w:rsidRDefault="00034C15" w:rsidP="007E385F">
      <w:pPr>
        <w:pStyle w:val="TOC1"/>
        <w:rPr>
          <w:rFonts w:ascii="Calibri" w:hAnsi="Calibri"/>
          <w:sz w:val="22"/>
          <w:szCs w:val="22"/>
        </w:rPr>
      </w:pPr>
      <w:r>
        <w:fldChar w:fldCharType="begin"/>
      </w:r>
      <w:r>
        <w:instrText xml:space="preserve"> TOC \o "1-3" \h \z \u </w:instrText>
      </w:r>
      <w:r>
        <w:fldChar w:fldCharType="separate"/>
      </w:r>
      <w:hyperlink w:anchor="_Toc444695160" w:history="1">
        <w:r w:rsidR="00500F2D" w:rsidRPr="00447A34">
          <w:rPr>
            <w:rStyle w:val="Hyperlink"/>
          </w:rPr>
          <w:t>How much will I pay:</w:t>
        </w:r>
        <w:r w:rsidR="00556176">
          <w:rPr>
            <w:rStyle w:val="Hyperlink"/>
          </w:rPr>
          <w:t>……………………………………………………………………………………………</w:t>
        </w:r>
        <w:r w:rsidR="00500F2D">
          <w:rPr>
            <w:webHidden/>
          </w:rPr>
          <w:fldChar w:fldCharType="begin"/>
        </w:r>
        <w:r w:rsidR="00500F2D">
          <w:rPr>
            <w:webHidden/>
          </w:rPr>
          <w:instrText xml:space="preserve"> PAGEREF _Toc444695160 \h </w:instrText>
        </w:r>
        <w:r w:rsidR="00500F2D">
          <w:rPr>
            <w:webHidden/>
          </w:rPr>
        </w:r>
        <w:r w:rsidR="00500F2D">
          <w:rPr>
            <w:webHidden/>
          </w:rPr>
          <w:fldChar w:fldCharType="separate"/>
        </w:r>
        <w:r w:rsidR="00954E7E">
          <w:rPr>
            <w:webHidden/>
          </w:rPr>
          <w:t>1</w:t>
        </w:r>
        <w:r w:rsidR="00500F2D">
          <w:rPr>
            <w:webHidden/>
          </w:rPr>
          <w:fldChar w:fldCharType="end"/>
        </w:r>
      </w:hyperlink>
    </w:p>
    <w:p w:rsidR="00500F2D" w:rsidRPr="001E640A" w:rsidRDefault="00500F2D" w:rsidP="007E385F">
      <w:pPr>
        <w:pStyle w:val="TOC1"/>
        <w:rPr>
          <w:rFonts w:ascii="Calibri" w:hAnsi="Calibri"/>
          <w:sz w:val="22"/>
          <w:szCs w:val="22"/>
        </w:rPr>
      </w:pPr>
      <w:hyperlink w:anchor="_Toc444695161" w:history="1">
        <w:r w:rsidRPr="00447A34">
          <w:rPr>
            <w:rStyle w:val="Hyperlink"/>
          </w:rPr>
          <w:t>Valuation Office:</w:t>
        </w:r>
        <w:r w:rsidR="00556176">
          <w:rPr>
            <w:rStyle w:val="Hyperlink"/>
          </w:rPr>
          <w:t>………………………………………………………………………………………………...</w:t>
        </w:r>
        <w:r>
          <w:rPr>
            <w:webHidden/>
          </w:rPr>
          <w:fldChar w:fldCharType="begin"/>
        </w:r>
        <w:r>
          <w:rPr>
            <w:webHidden/>
          </w:rPr>
          <w:instrText xml:space="preserve"> PAGEREF _Toc444695161 \h </w:instrText>
        </w:r>
        <w:r>
          <w:rPr>
            <w:webHidden/>
          </w:rPr>
        </w:r>
        <w:r>
          <w:rPr>
            <w:webHidden/>
          </w:rPr>
          <w:fldChar w:fldCharType="separate"/>
        </w:r>
        <w:r w:rsidR="00954E7E">
          <w:rPr>
            <w:webHidden/>
          </w:rPr>
          <w:t>1</w:t>
        </w:r>
        <w:r>
          <w:rPr>
            <w:webHidden/>
          </w:rPr>
          <w:fldChar w:fldCharType="end"/>
        </w:r>
      </w:hyperlink>
    </w:p>
    <w:p w:rsidR="00500F2D" w:rsidRPr="001E640A" w:rsidRDefault="00500F2D" w:rsidP="007E385F">
      <w:pPr>
        <w:pStyle w:val="TOC1"/>
        <w:rPr>
          <w:rFonts w:ascii="Calibri" w:hAnsi="Calibri"/>
          <w:sz w:val="22"/>
          <w:szCs w:val="22"/>
        </w:rPr>
      </w:pPr>
      <w:hyperlink w:anchor="_Toc444695162" w:history="1">
        <w:r w:rsidRPr="00447A34">
          <w:rPr>
            <w:rStyle w:val="Hyperlink"/>
          </w:rPr>
          <w:t xml:space="preserve">How is </w:t>
        </w:r>
        <w:r w:rsidR="00F677AF">
          <w:rPr>
            <w:rStyle w:val="Hyperlink"/>
          </w:rPr>
          <w:t>C</w:t>
        </w:r>
        <w:r w:rsidRPr="00447A34">
          <w:rPr>
            <w:rStyle w:val="Hyperlink"/>
          </w:rPr>
          <w:t>ouncil tax calculated:</w:t>
        </w:r>
        <w:r w:rsidR="00556176">
          <w:rPr>
            <w:webHidden/>
          </w:rPr>
          <w:t>…………………………………………………………………………………</w:t>
        </w:r>
        <w:r>
          <w:rPr>
            <w:webHidden/>
          </w:rPr>
          <w:fldChar w:fldCharType="begin"/>
        </w:r>
        <w:r>
          <w:rPr>
            <w:webHidden/>
          </w:rPr>
          <w:instrText xml:space="preserve"> PAGEREF _Toc444695162 \h </w:instrText>
        </w:r>
        <w:r>
          <w:rPr>
            <w:webHidden/>
          </w:rPr>
        </w:r>
        <w:r>
          <w:rPr>
            <w:webHidden/>
          </w:rPr>
          <w:fldChar w:fldCharType="separate"/>
        </w:r>
        <w:r w:rsidR="00954E7E">
          <w:rPr>
            <w:webHidden/>
          </w:rPr>
          <w:t>2</w:t>
        </w:r>
        <w:r>
          <w:rPr>
            <w:webHidden/>
          </w:rPr>
          <w:fldChar w:fldCharType="end"/>
        </w:r>
      </w:hyperlink>
    </w:p>
    <w:p w:rsidR="00DE124D" w:rsidRPr="007E385F" w:rsidRDefault="00F677AF" w:rsidP="007E385F">
      <w:pPr>
        <w:pStyle w:val="TOC1"/>
        <w:rPr>
          <w:rStyle w:val="Hyperlink"/>
          <w:color w:val="auto"/>
        </w:rPr>
      </w:pPr>
      <w:r w:rsidRPr="00255A35">
        <w:rPr>
          <w:rStyle w:val="Hyperlink"/>
          <w:color w:val="auto"/>
          <w:u w:val="none"/>
        </w:rPr>
        <w:t xml:space="preserve">How the Council </w:t>
      </w:r>
      <w:r w:rsidR="00DE124D" w:rsidRPr="00255A35">
        <w:rPr>
          <w:rStyle w:val="Hyperlink"/>
          <w:color w:val="auto"/>
          <w:u w:val="none"/>
        </w:rPr>
        <w:t>services are funded</w:t>
      </w:r>
      <w:r w:rsidR="007E385F" w:rsidRPr="00255A35">
        <w:rPr>
          <w:rStyle w:val="Hyperlink"/>
          <w:color w:val="auto"/>
          <w:u w:val="none"/>
        </w:rPr>
        <w:t>…………………………………………………………………………3</w:t>
      </w:r>
    </w:p>
    <w:p w:rsidR="00500F2D" w:rsidRPr="001E640A" w:rsidRDefault="00500F2D" w:rsidP="007E385F">
      <w:pPr>
        <w:pStyle w:val="TOC1"/>
        <w:rPr>
          <w:rFonts w:ascii="Calibri" w:hAnsi="Calibri"/>
          <w:sz w:val="22"/>
          <w:szCs w:val="22"/>
        </w:rPr>
      </w:pPr>
      <w:hyperlink w:anchor="_Toc444695164" w:history="1">
        <w:r w:rsidRPr="00447A34">
          <w:rPr>
            <w:rStyle w:val="Hyperlink"/>
          </w:rPr>
          <w:t xml:space="preserve">Statement concerning </w:t>
        </w:r>
        <w:r w:rsidR="00940686">
          <w:rPr>
            <w:rStyle w:val="Hyperlink"/>
          </w:rPr>
          <w:t>A</w:t>
        </w:r>
        <w:r w:rsidRPr="00447A34">
          <w:rPr>
            <w:rStyle w:val="Hyperlink"/>
          </w:rPr>
          <w:t xml:space="preserve">dult </w:t>
        </w:r>
        <w:r w:rsidR="00940686">
          <w:rPr>
            <w:rStyle w:val="Hyperlink"/>
          </w:rPr>
          <w:t>S</w:t>
        </w:r>
        <w:r w:rsidRPr="00447A34">
          <w:rPr>
            <w:rStyle w:val="Hyperlink"/>
          </w:rPr>
          <w:t xml:space="preserve">ocial </w:t>
        </w:r>
        <w:r w:rsidR="00940686">
          <w:rPr>
            <w:rStyle w:val="Hyperlink"/>
          </w:rPr>
          <w:t>C</w:t>
        </w:r>
        <w:r w:rsidRPr="00447A34">
          <w:rPr>
            <w:rStyle w:val="Hyperlink"/>
          </w:rPr>
          <w:t xml:space="preserve">are </w:t>
        </w:r>
        <w:r w:rsidR="007E385F">
          <w:rPr>
            <w:rStyle w:val="Hyperlink"/>
          </w:rPr>
          <w:t xml:space="preserve"> </w:t>
        </w:r>
        <w:r w:rsidRPr="00447A34">
          <w:rPr>
            <w:rStyle w:val="Hyperlink"/>
          </w:rPr>
          <w:t>funding:</w:t>
        </w:r>
        <w:r w:rsidR="00556176">
          <w:rPr>
            <w:rStyle w:val="Hyperlink"/>
          </w:rPr>
          <w:t>……</w:t>
        </w:r>
        <w:r w:rsidR="00940686">
          <w:rPr>
            <w:rStyle w:val="Hyperlink"/>
          </w:rPr>
          <w:t>……………………………………………..</w:t>
        </w:r>
        <w:r w:rsidR="00556176">
          <w:rPr>
            <w:rStyle w:val="Hyperlink"/>
          </w:rPr>
          <w:t>………………………………………………………</w:t>
        </w:r>
        <w:r>
          <w:rPr>
            <w:webHidden/>
          </w:rPr>
          <w:fldChar w:fldCharType="begin"/>
        </w:r>
        <w:r>
          <w:rPr>
            <w:webHidden/>
          </w:rPr>
          <w:instrText xml:space="preserve"> PAGEREF _Toc444695164 \h </w:instrText>
        </w:r>
        <w:r>
          <w:rPr>
            <w:webHidden/>
          </w:rPr>
        </w:r>
        <w:r>
          <w:rPr>
            <w:webHidden/>
          </w:rPr>
          <w:fldChar w:fldCharType="separate"/>
        </w:r>
        <w:r w:rsidR="00954E7E">
          <w:rPr>
            <w:webHidden/>
          </w:rPr>
          <w:t>3</w:t>
        </w:r>
        <w:r>
          <w:rPr>
            <w:webHidden/>
          </w:rPr>
          <w:fldChar w:fldCharType="end"/>
        </w:r>
      </w:hyperlink>
    </w:p>
    <w:p w:rsidR="00500F2D" w:rsidRPr="001E640A" w:rsidRDefault="00500F2D" w:rsidP="007E385F">
      <w:pPr>
        <w:pStyle w:val="TOC1"/>
        <w:rPr>
          <w:rFonts w:ascii="Calibri" w:hAnsi="Calibri"/>
          <w:sz w:val="22"/>
          <w:szCs w:val="22"/>
        </w:rPr>
      </w:pPr>
      <w:hyperlink w:anchor="_Toc444695165" w:history="1">
        <w:r w:rsidRPr="00447A34">
          <w:rPr>
            <w:rStyle w:val="Hyperlink"/>
          </w:rPr>
          <w:t>Levying Authorities charges:</w:t>
        </w:r>
        <w:r w:rsidR="00556176">
          <w:rPr>
            <w:rStyle w:val="Hyperlink"/>
          </w:rPr>
          <w:t>…………………………………………………………………………………..</w:t>
        </w:r>
        <w:r>
          <w:rPr>
            <w:webHidden/>
          </w:rPr>
          <w:fldChar w:fldCharType="begin"/>
        </w:r>
        <w:r>
          <w:rPr>
            <w:webHidden/>
          </w:rPr>
          <w:instrText xml:space="preserve"> PAGEREF _Toc444695165 \h </w:instrText>
        </w:r>
        <w:r>
          <w:rPr>
            <w:webHidden/>
          </w:rPr>
        </w:r>
        <w:r>
          <w:rPr>
            <w:webHidden/>
          </w:rPr>
          <w:fldChar w:fldCharType="separate"/>
        </w:r>
        <w:r w:rsidR="00954E7E">
          <w:rPr>
            <w:webHidden/>
          </w:rPr>
          <w:t>4</w:t>
        </w:r>
        <w:r>
          <w:rPr>
            <w:webHidden/>
          </w:rPr>
          <w:fldChar w:fldCharType="end"/>
        </w:r>
      </w:hyperlink>
    </w:p>
    <w:p w:rsidR="00500F2D" w:rsidRPr="001E640A" w:rsidRDefault="00500F2D" w:rsidP="007E385F">
      <w:pPr>
        <w:pStyle w:val="TOC1"/>
        <w:rPr>
          <w:rFonts w:ascii="Calibri" w:hAnsi="Calibri"/>
          <w:sz w:val="22"/>
          <w:szCs w:val="22"/>
        </w:rPr>
      </w:pPr>
      <w:hyperlink w:anchor="_Toc444695166" w:history="1">
        <w:r w:rsidRPr="00447A34">
          <w:rPr>
            <w:rStyle w:val="Hyperlink"/>
          </w:rPr>
          <w:t>Environment Agency:</w:t>
        </w:r>
        <w:r w:rsidR="00556176">
          <w:rPr>
            <w:rStyle w:val="Hyperlink"/>
          </w:rPr>
          <w:t>…………………………………………………………………………………………..</w:t>
        </w:r>
        <w:r>
          <w:rPr>
            <w:webHidden/>
          </w:rPr>
          <w:fldChar w:fldCharType="begin"/>
        </w:r>
        <w:r>
          <w:rPr>
            <w:webHidden/>
          </w:rPr>
          <w:instrText xml:space="preserve"> PAGEREF _Toc444695166 \h </w:instrText>
        </w:r>
        <w:r>
          <w:rPr>
            <w:webHidden/>
          </w:rPr>
        </w:r>
        <w:r>
          <w:rPr>
            <w:webHidden/>
          </w:rPr>
          <w:fldChar w:fldCharType="separate"/>
        </w:r>
        <w:r w:rsidR="00954E7E">
          <w:rPr>
            <w:webHidden/>
          </w:rPr>
          <w:t>4</w:t>
        </w:r>
        <w:r>
          <w:rPr>
            <w:webHidden/>
          </w:rPr>
          <w:fldChar w:fldCharType="end"/>
        </w:r>
      </w:hyperlink>
    </w:p>
    <w:p w:rsidR="006D556C" w:rsidRPr="006D556C" w:rsidRDefault="00034C15" w:rsidP="006D556C">
      <w:pPr>
        <w:ind w:left="142"/>
        <w:rPr>
          <w:sz w:val="28"/>
          <w:szCs w:val="28"/>
        </w:rPr>
      </w:pPr>
      <w:r>
        <w:fldChar w:fldCharType="end"/>
      </w:r>
      <w:bookmarkStart w:id="0" w:name="_Toc444695160"/>
    </w:p>
    <w:p w:rsidR="00034C15" w:rsidRPr="006D556C" w:rsidRDefault="00034C15" w:rsidP="006D556C">
      <w:pPr>
        <w:ind w:left="142"/>
        <w:rPr>
          <w:b/>
          <w:bCs/>
          <w:sz w:val="28"/>
          <w:szCs w:val="28"/>
        </w:rPr>
      </w:pPr>
      <w:r w:rsidRPr="006D556C">
        <w:rPr>
          <w:b/>
          <w:bCs/>
          <w:sz w:val="28"/>
          <w:szCs w:val="28"/>
        </w:rPr>
        <w:t>How much will I pay:</w:t>
      </w:r>
      <w:bookmarkEnd w:id="0"/>
    </w:p>
    <w:p w:rsidR="00034C15" w:rsidRDefault="00034C15" w:rsidP="00D3321E">
      <w:pPr>
        <w:ind w:left="142"/>
      </w:pPr>
    </w:p>
    <w:tbl>
      <w:tblPr>
        <w:tblW w:w="10209" w:type="dxa"/>
        <w:tblInd w:w="534" w:type="dxa"/>
        <w:tblLook w:val="04A0" w:firstRow="1" w:lastRow="0" w:firstColumn="1" w:lastColumn="0" w:noHBand="0" w:noVBand="1"/>
      </w:tblPr>
      <w:tblGrid>
        <w:gridCol w:w="1114"/>
        <w:gridCol w:w="2288"/>
        <w:gridCol w:w="1137"/>
        <w:gridCol w:w="1275"/>
        <w:gridCol w:w="996"/>
        <w:gridCol w:w="1125"/>
        <w:gridCol w:w="1137"/>
        <w:gridCol w:w="1137"/>
      </w:tblGrid>
      <w:tr w:rsidR="005F4635" w:rsidRPr="00415358" w:rsidTr="00D17853">
        <w:trPr>
          <w:trHeight w:val="270"/>
        </w:trPr>
        <w:tc>
          <w:tcPr>
            <w:tcW w:w="1114" w:type="dxa"/>
            <w:tcBorders>
              <w:top w:val="single" w:sz="8" w:space="0" w:color="auto"/>
              <w:left w:val="single" w:sz="8" w:space="0" w:color="auto"/>
              <w:bottom w:val="single" w:sz="8" w:space="0" w:color="auto"/>
              <w:right w:val="single" w:sz="8" w:space="0" w:color="auto"/>
            </w:tcBorders>
            <w:noWrap/>
            <w:vAlign w:val="center"/>
            <w:hideMark/>
          </w:tcPr>
          <w:p w:rsidR="0079485E" w:rsidRPr="00415358" w:rsidRDefault="0079485E" w:rsidP="001E640A">
            <w:pPr>
              <w:ind w:left="142"/>
              <w:rPr>
                <w:rFonts w:cs="Arial"/>
                <w:color w:val="000000"/>
                <w:sz w:val="20"/>
                <w:szCs w:val="20"/>
              </w:rPr>
            </w:pPr>
            <w:r w:rsidRPr="00415358">
              <w:rPr>
                <w:rFonts w:cs="Arial"/>
                <w:color w:val="000000"/>
                <w:sz w:val="20"/>
                <w:szCs w:val="20"/>
              </w:rPr>
              <w:t>Property</w:t>
            </w:r>
          </w:p>
        </w:tc>
        <w:tc>
          <w:tcPr>
            <w:tcW w:w="2288" w:type="dxa"/>
            <w:tcBorders>
              <w:top w:val="single" w:sz="8" w:space="0" w:color="auto"/>
              <w:left w:val="nil"/>
              <w:bottom w:val="single" w:sz="8" w:space="0" w:color="auto"/>
              <w:right w:val="single" w:sz="8" w:space="0" w:color="auto"/>
            </w:tcBorders>
            <w:noWrap/>
            <w:vAlign w:val="center"/>
            <w:hideMark/>
          </w:tcPr>
          <w:p w:rsidR="0079485E" w:rsidRPr="00415358" w:rsidRDefault="0079485E" w:rsidP="001E640A">
            <w:pPr>
              <w:ind w:left="142"/>
              <w:rPr>
                <w:rFonts w:cs="Arial"/>
                <w:color w:val="000000"/>
                <w:sz w:val="20"/>
                <w:szCs w:val="20"/>
              </w:rPr>
            </w:pPr>
            <w:r w:rsidRPr="00415358">
              <w:rPr>
                <w:rFonts w:cs="Arial"/>
                <w:color w:val="000000"/>
                <w:sz w:val="20"/>
                <w:szCs w:val="20"/>
              </w:rPr>
              <w:t>Property Value 01/04/91</w:t>
            </w:r>
          </w:p>
        </w:tc>
        <w:tc>
          <w:tcPr>
            <w:tcW w:w="3408" w:type="dxa"/>
            <w:gridSpan w:val="3"/>
            <w:tcBorders>
              <w:top w:val="single" w:sz="8" w:space="0" w:color="auto"/>
              <w:left w:val="nil"/>
              <w:bottom w:val="single" w:sz="8" w:space="0" w:color="auto"/>
              <w:right w:val="single" w:sz="4" w:space="0" w:color="auto"/>
            </w:tcBorders>
            <w:noWrap/>
            <w:vAlign w:val="center"/>
            <w:hideMark/>
          </w:tcPr>
          <w:p w:rsidR="0079485E" w:rsidRPr="00F55391" w:rsidRDefault="0079485E" w:rsidP="001E640A">
            <w:pPr>
              <w:ind w:left="142"/>
              <w:jc w:val="center"/>
              <w:rPr>
                <w:rFonts w:cs="Arial"/>
                <w:color w:val="00B050"/>
                <w:sz w:val="20"/>
                <w:szCs w:val="20"/>
              </w:rPr>
            </w:pPr>
            <w:r w:rsidRPr="00F55391">
              <w:rPr>
                <w:rFonts w:cs="Arial"/>
                <w:color w:val="00B050"/>
                <w:sz w:val="20"/>
                <w:szCs w:val="20"/>
              </w:rPr>
              <w:t>Bromley/Adult Social Care precept</w:t>
            </w:r>
          </w:p>
        </w:tc>
        <w:tc>
          <w:tcPr>
            <w:tcW w:w="1125" w:type="dxa"/>
            <w:tcBorders>
              <w:top w:val="single" w:sz="8" w:space="0" w:color="auto"/>
              <w:left w:val="nil"/>
              <w:bottom w:val="single" w:sz="8" w:space="0" w:color="auto"/>
              <w:right w:val="single" w:sz="4" w:space="0" w:color="auto"/>
            </w:tcBorders>
            <w:vAlign w:val="center"/>
          </w:tcPr>
          <w:p w:rsidR="0079485E" w:rsidRPr="00415358" w:rsidRDefault="0079485E" w:rsidP="001E640A">
            <w:pPr>
              <w:ind w:left="142"/>
              <w:jc w:val="center"/>
              <w:rPr>
                <w:rFonts w:cs="Arial"/>
                <w:color w:val="000000"/>
                <w:sz w:val="20"/>
                <w:szCs w:val="20"/>
              </w:rPr>
            </w:pPr>
            <w:r>
              <w:rPr>
                <w:rFonts w:cs="Arial"/>
                <w:color w:val="000000"/>
                <w:sz w:val="20"/>
                <w:szCs w:val="20"/>
              </w:rPr>
              <w:t>GLA</w:t>
            </w:r>
          </w:p>
        </w:tc>
        <w:tc>
          <w:tcPr>
            <w:tcW w:w="1137" w:type="dxa"/>
            <w:tcBorders>
              <w:top w:val="single" w:sz="8" w:space="0" w:color="auto"/>
              <w:left w:val="single" w:sz="4" w:space="0" w:color="auto"/>
              <w:bottom w:val="single" w:sz="8" w:space="0" w:color="auto"/>
              <w:right w:val="single" w:sz="8" w:space="0" w:color="auto"/>
            </w:tcBorders>
            <w:noWrap/>
            <w:vAlign w:val="center"/>
            <w:hideMark/>
          </w:tcPr>
          <w:p w:rsidR="0079485E" w:rsidRPr="00415358" w:rsidRDefault="0079485E" w:rsidP="001E640A">
            <w:pPr>
              <w:ind w:left="142"/>
              <w:jc w:val="right"/>
              <w:rPr>
                <w:rFonts w:cs="Arial"/>
                <w:b/>
                <w:bCs/>
                <w:color w:val="000000"/>
                <w:sz w:val="20"/>
                <w:szCs w:val="20"/>
              </w:rPr>
            </w:pPr>
            <w:r w:rsidRPr="00415358">
              <w:rPr>
                <w:rFonts w:cs="Arial"/>
                <w:b/>
                <w:bCs/>
                <w:color w:val="000000"/>
                <w:sz w:val="20"/>
                <w:szCs w:val="20"/>
              </w:rPr>
              <w:t>Council Tax</w:t>
            </w:r>
          </w:p>
        </w:tc>
        <w:tc>
          <w:tcPr>
            <w:tcW w:w="1137" w:type="dxa"/>
            <w:tcBorders>
              <w:top w:val="single" w:sz="8" w:space="0" w:color="auto"/>
              <w:left w:val="nil"/>
              <w:bottom w:val="single" w:sz="8" w:space="0" w:color="auto"/>
              <w:right w:val="single" w:sz="8" w:space="0" w:color="auto"/>
            </w:tcBorders>
            <w:noWrap/>
            <w:vAlign w:val="center"/>
            <w:hideMark/>
          </w:tcPr>
          <w:p w:rsidR="0079485E" w:rsidRPr="00415358" w:rsidRDefault="0079485E" w:rsidP="001E640A">
            <w:pPr>
              <w:ind w:left="142"/>
              <w:jc w:val="right"/>
              <w:rPr>
                <w:rFonts w:cs="Arial"/>
                <w:color w:val="000000"/>
                <w:sz w:val="20"/>
                <w:szCs w:val="20"/>
              </w:rPr>
            </w:pPr>
            <w:r w:rsidRPr="00415358">
              <w:rPr>
                <w:rFonts w:cs="Arial"/>
                <w:color w:val="000000"/>
                <w:sz w:val="20"/>
                <w:szCs w:val="20"/>
              </w:rPr>
              <w:t>Council Tax</w:t>
            </w:r>
          </w:p>
        </w:tc>
      </w:tr>
      <w:tr w:rsidR="005F4635" w:rsidRPr="00415358" w:rsidTr="00255A35">
        <w:trPr>
          <w:trHeight w:val="270"/>
        </w:trPr>
        <w:tc>
          <w:tcPr>
            <w:tcW w:w="1114" w:type="dxa"/>
            <w:tcBorders>
              <w:top w:val="nil"/>
              <w:left w:val="single" w:sz="8" w:space="0" w:color="auto"/>
              <w:bottom w:val="single" w:sz="8" w:space="0" w:color="auto"/>
              <w:right w:val="single" w:sz="8" w:space="0" w:color="auto"/>
            </w:tcBorders>
            <w:noWrap/>
            <w:vAlign w:val="center"/>
            <w:hideMark/>
          </w:tcPr>
          <w:p w:rsidR="0079485E" w:rsidRPr="00415358" w:rsidRDefault="0079485E" w:rsidP="001E640A">
            <w:pPr>
              <w:ind w:left="142"/>
              <w:rPr>
                <w:rFonts w:cs="Arial"/>
                <w:color w:val="000000"/>
                <w:sz w:val="20"/>
                <w:szCs w:val="20"/>
              </w:rPr>
            </w:pPr>
            <w:r w:rsidRPr="00415358">
              <w:rPr>
                <w:rFonts w:cs="Arial"/>
                <w:color w:val="000000"/>
                <w:sz w:val="20"/>
                <w:szCs w:val="20"/>
              </w:rPr>
              <w:t>Band</w:t>
            </w:r>
          </w:p>
        </w:tc>
        <w:tc>
          <w:tcPr>
            <w:tcW w:w="2288" w:type="dxa"/>
            <w:tcBorders>
              <w:top w:val="nil"/>
              <w:left w:val="nil"/>
              <w:bottom w:val="single" w:sz="8" w:space="0" w:color="auto"/>
              <w:right w:val="single" w:sz="8" w:space="0" w:color="auto"/>
            </w:tcBorders>
            <w:noWrap/>
            <w:vAlign w:val="center"/>
            <w:hideMark/>
          </w:tcPr>
          <w:p w:rsidR="0079485E" w:rsidRPr="00415358" w:rsidRDefault="0079485E" w:rsidP="001E640A">
            <w:pPr>
              <w:ind w:left="142"/>
              <w:rPr>
                <w:rFonts w:cs="Arial"/>
                <w:color w:val="000000"/>
                <w:sz w:val="20"/>
                <w:szCs w:val="20"/>
              </w:rPr>
            </w:pPr>
            <w:r w:rsidRPr="00415358">
              <w:rPr>
                <w:rFonts w:cs="Arial"/>
                <w:color w:val="000000"/>
                <w:sz w:val="20"/>
                <w:szCs w:val="20"/>
              </w:rPr>
              <w:t> </w:t>
            </w:r>
          </w:p>
        </w:tc>
        <w:tc>
          <w:tcPr>
            <w:tcW w:w="1137" w:type="dxa"/>
            <w:tcBorders>
              <w:top w:val="nil"/>
              <w:left w:val="nil"/>
              <w:bottom w:val="single" w:sz="8" w:space="0" w:color="auto"/>
              <w:right w:val="single" w:sz="8" w:space="0" w:color="auto"/>
            </w:tcBorders>
            <w:noWrap/>
            <w:vAlign w:val="center"/>
            <w:hideMark/>
          </w:tcPr>
          <w:p w:rsidR="0079485E" w:rsidRPr="00F55391" w:rsidRDefault="0079485E" w:rsidP="001E640A">
            <w:pPr>
              <w:ind w:left="142"/>
              <w:jc w:val="center"/>
              <w:rPr>
                <w:rFonts w:cs="Arial"/>
                <w:color w:val="00B050"/>
                <w:sz w:val="20"/>
                <w:szCs w:val="20"/>
              </w:rPr>
            </w:pPr>
            <w:r w:rsidRPr="00F55391">
              <w:rPr>
                <w:rFonts w:cs="Arial"/>
                <w:color w:val="00B050"/>
                <w:sz w:val="20"/>
                <w:szCs w:val="20"/>
              </w:rPr>
              <w:t>Bromley</w:t>
            </w:r>
          </w:p>
        </w:tc>
        <w:tc>
          <w:tcPr>
            <w:tcW w:w="1275" w:type="dxa"/>
            <w:tcBorders>
              <w:top w:val="single" w:sz="4" w:space="0" w:color="auto"/>
              <w:left w:val="nil"/>
              <w:bottom w:val="single" w:sz="8" w:space="0" w:color="auto"/>
              <w:right w:val="single" w:sz="4" w:space="0" w:color="auto"/>
            </w:tcBorders>
            <w:noWrap/>
            <w:vAlign w:val="center"/>
            <w:hideMark/>
          </w:tcPr>
          <w:p w:rsidR="0079485E" w:rsidRPr="00F55391" w:rsidRDefault="0079485E" w:rsidP="001E640A">
            <w:pPr>
              <w:jc w:val="center"/>
              <w:rPr>
                <w:rFonts w:cs="Arial"/>
                <w:color w:val="00B050"/>
                <w:sz w:val="20"/>
                <w:szCs w:val="20"/>
              </w:rPr>
            </w:pPr>
            <w:r w:rsidRPr="00F55391">
              <w:rPr>
                <w:rFonts w:cs="Arial"/>
                <w:color w:val="00B050"/>
                <w:sz w:val="20"/>
                <w:szCs w:val="20"/>
              </w:rPr>
              <w:t>ASC</w:t>
            </w:r>
          </w:p>
        </w:tc>
        <w:tc>
          <w:tcPr>
            <w:tcW w:w="996" w:type="dxa"/>
            <w:tcBorders>
              <w:top w:val="single" w:sz="4" w:space="0" w:color="auto"/>
              <w:left w:val="single" w:sz="4" w:space="0" w:color="auto"/>
              <w:bottom w:val="single" w:sz="8" w:space="0" w:color="auto"/>
              <w:right w:val="single" w:sz="4" w:space="0" w:color="auto"/>
            </w:tcBorders>
            <w:vAlign w:val="center"/>
          </w:tcPr>
          <w:p w:rsidR="0079485E" w:rsidRPr="00F55391" w:rsidRDefault="0079485E" w:rsidP="001E640A">
            <w:pPr>
              <w:jc w:val="center"/>
              <w:rPr>
                <w:rFonts w:cs="Arial"/>
                <w:b/>
                <w:color w:val="00B050"/>
                <w:sz w:val="20"/>
                <w:szCs w:val="20"/>
              </w:rPr>
            </w:pPr>
            <w:r w:rsidRPr="00F55391">
              <w:rPr>
                <w:rFonts w:cs="Arial"/>
                <w:b/>
                <w:color w:val="00B050"/>
                <w:sz w:val="20"/>
                <w:szCs w:val="20"/>
              </w:rPr>
              <w:t>Total</w:t>
            </w:r>
          </w:p>
        </w:tc>
        <w:tc>
          <w:tcPr>
            <w:tcW w:w="1125" w:type="dxa"/>
            <w:tcBorders>
              <w:top w:val="single" w:sz="4" w:space="0" w:color="auto"/>
              <w:left w:val="single" w:sz="4" w:space="0" w:color="auto"/>
              <w:bottom w:val="single" w:sz="8" w:space="0" w:color="auto"/>
              <w:right w:val="single" w:sz="8" w:space="0" w:color="auto"/>
            </w:tcBorders>
            <w:vAlign w:val="center"/>
          </w:tcPr>
          <w:p w:rsidR="0079485E" w:rsidRPr="00415358" w:rsidRDefault="0079485E" w:rsidP="001E640A">
            <w:pPr>
              <w:jc w:val="center"/>
              <w:rPr>
                <w:rFonts w:cs="Arial"/>
                <w:color w:val="000000"/>
                <w:sz w:val="20"/>
                <w:szCs w:val="20"/>
              </w:rPr>
            </w:pPr>
          </w:p>
        </w:tc>
        <w:tc>
          <w:tcPr>
            <w:tcW w:w="1137" w:type="dxa"/>
            <w:tcBorders>
              <w:top w:val="nil"/>
              <w:left w:val="nil"/>
              <w:bottom w:val="single" w:sz="8" w:space="0" w:color="auto"/>
              <w:right w:val="single" w:sz="8" w:space="0" w:color="auto"/>
            </w:tcBorders>
            <w:noWrap/>
            <w:vAlign w:val="center"/>
            <w:hideMark/>
          </w:tcPr>
          <w:p w:rsidR="0079485E" w:rsidRPr="00415358" w:rsidRDefault="0079485E" w:rsidP="007218E2">
            <w:pPr>
              <w:ind w:left="142"/>
              <w:jc w:val="right"/>
              <w:rPr>
                <w:rFonts w:cs="Arial"/>
                <w:b/>
                <w:bCs/>
                <w:color w:val="000000"/>
                <w:sz w:val="20"/>
                <w:szCs w:val="20"/>
              </w:rPr>
            </w:pPr>
            <w:r w:rsidRPr="00415358">
              <w:rPr>
                <w:rFonts w:cs="Arial"/>
                <w:b/>
                <w:bCs/>
                <w:color w:val="000000"/>
                <w:sz w:val="20"/>
                <w:szCs w:val="20"/>
              </w:rPr>
              <w:t>20</w:t>
            </w:r>
            <w:r w:rsidR="005E34D4">
              <w:rPr>
                <w:rFonts w:cs="Arial"/>
                <w:b/>
                <w:bCs/>
                <w:color w:val="000000"/>
                <w:sz w:val="20"/>
                <w:szCs w:val="20"/>
              </w:rPr>
              <w:t>2</w:t>
            </w:r>
            <w:r w:rsidR="00AB36F5">
              <w:rPr>
                <w:rFonts w:cs="Arial"/>
                <w:b/>
                <w:bCs/>
                <w:color w:val="000000"/>
                <w:sz w:val="20"/>
                <w:szCs w:val="20"/>
              </w:rPr>
              <w:t>4</w:t>
            </w:r>
            <w:r w:rsidRPr="00415358">
              <w:rPr>
                <w:rFonts w:cs="Arial"/>
                <w:b/>
                <w:bCs/>
                <w:color w:val="000000"/>
                <w:sz w:val="20"/>
                <w:szCs w:val="20"/>
              </w:rPr>
              <w:t>/</w:t>
            </w:r>
            <w:r w:rsidR="005E34D4">
              <w:rPr>
                <w:rFonts w:cs="Arial"/>
                <w:b/>
                <w:bCs/>
                <w:color w:val="000000"/>
                <w:sz w:val="20"/>
                <w:szCs w:val="20"/>
              </w:rPr>
              <w:t>2</w:t>
            </w:r>
            <w:r w:rsidR="00AB36F5">
              <w:rPr>
                <w:rFonts w:cs="Arial"/>
                <w:b/>
                <w:bCs/>
                <w:color w:val="000000"/>
                <w:sz w:val="20"/>
                <w:szCs w:val="20"/>
              </w:rPr>
              <w:t>5</w:t>
            </w:r>
          </w:p>
        </w:tc>
        <w:tc>
          <w:tcPr>
            <w:tcW w:w="1137" w:type="dxa"/>
            <w:tcBorders>
              <w:top w:val="nil"/>
              <w:left w:val="nil"/>
              <w:bottom w:val="single" w:sz="8" w:space="0" w:color="auto"/>
              <w:right w:val="single" w:sz="8" w:space="0" w:color="auto"/>
            </w:tcBorders>
            <w:noWrap/>
            <w:vAlign w:val="center"/>
          </w:tcPr>
          <w:p w:rsidR="0079485E" w:rsidRPr="00415358" w:rsidRDefault="00255A35" w:rsidP="007218E2">
            <w:pPr>
              <w:ind w:left="142"/>
              <w:jc w:val="right"/>
              <w:rPr>
                <w:rFonts w:cs="Arial"/>
                <w:color w:val="000000"/>
                <w:sz w:val="20"/>
                <w:szCs w:val="20"/>
              </w:rPr>
            </w:pPr>
            <w:r>
              <w:rPr>
                <w:rFonts w:cs="Arial"/>
                <w:color w:val="000000"/>
                <w:sz w:val="20"/>
                <w:szCs w:val="20"/>
              </w:rPr>
              <w:t>202</w:t>
            </w:r>
            <w:r w:rsidR="00AB36F5">
              <w:rPr>
                <w:rFonts w:cs="Arial"/>
                <w:color w:val="000000"/>
                <w:sz w:val="20"/>
                <w:szCs w:val="20"/>
              </w:rPr>
              <w:t>3</w:t>
            </w:r>
            <w:r>
              <w:rPr>
                <w:rFonts w:cs="Arial"/>
                <w:color w:val="000000"/>
                <w:sz w:val="20"/>
                <w:szCs w:val="20"/>
              </w:rPr>
              <w:t>/2</w:t>
            </w:r>
            <w:r w:rsidR="00AB36F5">
              <w:rPr>
                <w:rFonts w:cs="Arial"/>
                <w:color w:val="000000"/>
                <w:sz w:val="20"/>
                <w:szCs w:val="20"/>
              </w:rPr>
              <w:t>4</w:t>
            </w:r>
          </w:p>
        </w:tc>
      </w:tr>
      <w:tr w:rsidR="005F4635" w:rsidRPr="00415358" w:rsidTr="00D17853">
        <w:trPr>
          <w:trHeight w:val="270"/>
        </w:trPr>
        <w:tc>
          <w:tcPr>
            <w:tcW w:w="1114" w:type="dxa"/>
            <w:tcBorders>
              <w:top w:val="nil"/>
              <w:left w:val="single" w:sz="8" w:space="0" w:color="auto"/>
              <w:bottom w:val="single" w:sz="8" w:space="0" w:color="auto"/>
              <w:right w:val="single" w:sz="8" w:space="0" w:color="auto"/>
            </w:tcBorders>
            <w:noWrap/>
            <w:vAlign w:val="center"/>
            <w:hideMark/>
          </w:tcPr>
          <w:p w:rsidR="0079485E" w:rsidRPr="00415358" w:rsidRDefault="0079485E" w:rsidP="001E640A">
            <w:pPr>
              <w:ind w:left="142"/>
              <w:rPr>
                <w:rFonts w:cs="Arial"/>
                <w:color w:val="000000"/>
                <w:sz w:val="20"/>
                <w:szCs w:val="20"/>
              </w:rPr>
            </w:pPr>
            <w:r w:rsidRPr="00415358">
              <w:rPr>
                <w:rFonts w:cs="Arial"/>
                <w:color w:val="000000"/>
                <w:sz w:val="20"/>
                <w:szCs w:val="20"/>
              </w:rPr>
              <w:t> </w:t>
            </w:r>
          </w:p>
        </w:tc>
        <w:tc>
          <w:tcPr>
            <w:tcW w:w="2288" w:type="dxa"/>
            <w:tcBorders>
              <w:top w:val="nil"/>
              <w:left w:val="nil"/>
              <w:bottom w:val="single" w:sz="8" w:space="0" w:color="auto"/>
              <w:right w:val="single" w:sz="8" w:space="0" w:color="auto"/>
            </w:tcBorders>
            <w:noWrap/>
            <w:vAlign w:val="center"/>
            <w:hideMark/>
          </w:tcPr>
          <w:p w:rsidR="0079485E" w:rsidRPr="00415358" w:rsidRDefault="0079485E" w:rsidP="001E640A">
            <w:pPr>
              <w:ind w:left="142"/>
              <w:rPr>
                <w:rFonts w:cs="Arial"/>
                <w:color w:val="000000"/>
                <w:sz w:val="20"/>
                <w:szCs w:val="20"/>
              </w:rPr>
            </w:pPr>
            <w:r w:rsidRPr="00415358">
              <w:rPr>
                <w:rFonts w:cs="Arial"/>
                <w:color w:val="000000"/>
                <w:sz w:val="20"/>
                <w:szCs w:val="20"/>
              </w:rPr>
              <w:t> </w:t>
            </w:r>
          </w:p>
        </w:tc>
        <w:tc>
          <w:tcPr>
            <w:tcW w:w="1137" w:type="dxa"/>
            <w:tcBorders>
              <w:top w:val="nil"/>
              <w:left w:val="nil"/>
              <w:bottom w:val="single" w:sz="8" w:space="0" w:color="auto"/>
              <w:right w:val="single" w:sz="8" w:space="0" w:color="auto"/>
            </w:tcBorders>
            <w:noWrap/>
            <w:vAlign w:val="center"/>
            <w:hideMark/>
          </w:tcPr>
          <w:p w:rsidR="0079485E" w:rsidRPr="00F55391" w:rsidRDefault="0079485E" w:rsidP="001E640A">
            <w:pPr>
              <w:ind w:left="142"/>
              <w:jc w:val="right"/>
              <w:rPr>
                <w:rFonts w:cs="Arial"/>
                <w:color w:val="00B050"/>
                <w:sz w:val="20"/>
                <w:szCs w:val="20"/>
              </w:rPr>
            </w:pPr>
            <w:r w:rsidRPr="00F55391">
              <w:rPr>
                <w:rFonts w:cs="Arial"/>
                <w:color w:val="00B050"/>
                <w:sz w:val="20"/>
                <w:szCs w:val="20"/>
              </w:rPr>
              <w:t>£.p</w:t>
            </w:r>
          </w:p>
        </w:tc>
        <w:tc>
          <w:tcPr>
            <w:tcW w:w="1275" w:type="dxa"/>
            <w:tcBorders>
              <w:top w:val="nil"/>
              <w:left w:val="nil"/>
              <w:bottom w:val="single" w:sz="8" w:space="0" w:color="auto"/>
              <w:right w:val="single" w:sz="4" w:space="0" w:color="auto"/>
            </w:tcBorders>
            <w:noWrap/>
            <w:vAlign w:val="center"/>
            <w:hideMark/>
          </w:tcPr>
          <w:p w:rsidR="0079485E" w:rsidRPr="00F55391" w:rsidRDefault="0079485E" w:rsidP="001E640A">
            <w:pPr>
              <w:jc w:val="right"/>
              <w:rPr>
                <w:rFonts w:cs="Arial"/>
                <w:color w:val="00B050"/>
                <w:sz w:val="20"/>
                <w:szCs w:val="20"/>
              </w:rPr>
            </w:pPr>
            <w:r w:rsidRPr="00F55391">
              <w:rPr>
                <w:rFonts w:cs="Arial"/>
                <w:color w:val="00B050"/>
                <w:sz w:val="20"/>
                <w:szCs w:val="20"/>
              </w:rPr>
              <w:t>£.p</w:t>
            </w:r>
          </w:p>
        </w:tc>
        <w:tc>
          <w:tcPr>
            <w:tcW w:w="996" w:type="dxa"/>
            <w:tcBorders>
              <w:top w:val="nil"/>
              <w:left w:val="single" w:sz="4" w:space="0" w:color="auto"/>
              <w:bottom w:val="single" w:sz="8" w:space="0" w:color="auto"/>
              <w:right w:val="single" w:sz="4" w:space="0" w:color="auto"/>
            </w:tcBorders>
            <w:vAlign w:val="center"/>
          </w:tcPr>
          <w:p w:rsidR="0079485E" w:rsidRPr="00F55391" w:rsidRDefault="0079485E" w:rsidP="001E640A">
            <w:pPr>
              <w:jc w:val="right"/>
              <w:rPr>
                <w:rFonts w:cs="Arial"/>
                <w:b/>
                <w:color w:val="00B050"/>
                <w:sz w:val="20"/>
                <w:szCs w:val="20"/>
              </w:rPr>
            </w:pPr>
            <w:r w:rsidRPr="00F55391">
              <w:rPr>
                <w:rFonts w:cs="Arial"/>
                <w:b/>
                <w:color w:val="00B050"/>
                <w:sz w:val="20"/>
                <w:szCs w:val="20"/>
              </w:rPr>
              <w:t>£.p</w:t>
            </w:r>
          </w:p>
        </w:tc>
        <w:tc>
          <w:tcPr>
            <w:tcW w:w="1125" w:type="dxa"/>
            <w:tcBorders>
              <w:top w:val="nil"/>
              <w:left w:val="single" w:sz="4" w:space="0" w:color="auto"/>
              <w:bottom w:val="single" w:sz="8" w:space="0" w:color="auto"/>
              <w:right w:val="single" w:sz="8" w:space="0" w:color="auto"/>
            </w:tcBorders>
            <w:vAlign w:val="center"/>
          </w:tcPr>
          <w:p w:rsidR="0079485E" w:rsidRPr="00415358" w:rsidRDefault="0079485E" w:rsidP="001E640A">
            <w:pPr>
              <w:jc w:val="right"/>
              <w:rPr>
                <w:rFonts w:cs="Arial"/>
                <w:color w:val="000000"/>
                <w:sz w:val="20"/>
                <w:szCs w:val="20"/>
              </w:rPr>
            </w:pPr>
            <w:r w:rsidRPr="00415358">
              <w:rPr>
                <w:rFonts w:cs="Arial"/>
                <w:color w:val="000000"/>
                <w:sz w:val="20"/>
                <w:szCs w:val="20"/>
              </w:rPr>
              <w:t>£.p</w:t>
            </w:r>
          </w:p>
        </w:tc>
        <w:tc>
          <w:tcPr>
            <w:tcW w:w="1137" w:type="dxa"/>
            <w:tcBorders>
              <w:top w:val="nil"/>
              <w:left w:val="nil"/>
              <w:bottom w:val="single" w:sz="8" w:space="0" w:color="auto"/>
              <w:right w:val="single" w:sz="8" w:space="0" w:color="auto"/>
            </w:tcBorders>
            <w:noWrap/>
            <w:vAlign w:val="center"/>
            <w:hideMark/>
          </w:tcPr>
          <w:p w:rsidR="0079485E" w:rsidRPr="00415358" w:rsidRDefault="0079485E" w:rsidP="001E640A">
            <w:pPr>
              <w:ind w:left="142"/>
              <w:jc w:val="right"/>
              <w:rPr>
                <w:rFonts w:cs="Arial"/>
                <w:b/>
                <w:bCs/>
                <w:color w:val="000000"/>
                <w:sz w:val="20"/>
                <w:szCs w:val="20"/>
              </w:rPr>
            </w:pPr>
            <w:r w:rsidRPr="00415358">
              <w:rPr>
                <w:rFonts w:cs="Arial"/>
                <w:b/>
                <w:bCs/>
                <w:color w:val="000000"/>
                <w:sz w:val="20"/>
                <w:szCs w:val="20"/>
              </w:rPr>
              <w:t>£.p</w:t>
            </w:r>
          </w:p>
        </w:tc>
        <w:tc>
          <w:tcPr>
            <w:tcW w:w="1137" w:type="dxa"/>
            <w:tcBorders>
              <w:top w:val="nil"/>
              <w:left w:val="nil"/>
              <w:bottom w:val="single" w:sz="8" w:space="0" w:color="auto"/>
              <w:right w:val="single" w:sz="8" w:space="0" w:color="auto"/>
            </w:tcBorders>
            <w:noWrap/>
            <w:vAlign w:val="center"/>
            <w:hideMark/>
          </w:tcPr>
          <w:p w:rsidR="0079485E" w:rsidRPr="00415358" w:rsidRDefault="0079485E" w:rsidP="001E640A">
            <w:pPr>
              <w:ind w:left="142"/>
              <w:jc w:val="right"/>
              <w:rPr>
                <w:rFonts w:cs="Arial"/>
                <w:color w:val="000000"/>
                <w:sz w:val="20"/>
                <w:szCs w:val="20"/>
              </w:rPr>
            </w:pPr>
            <w:r w:rsidRPr="00415358">
              <w:rPr>
                <w:rFonts w:cs="Arial"/>
                <w:color w:val="000000"/>
                <w:sz w:val="20"/>
                <w:szCs w:val="20"/>
              </w:rPr>
              <w:t>£.p</w:t>
            </w:r>
          </w:p>
        </w:tc>
      </w:tr>
      <w:tr w:rsidR="005F4635" w:rsidRPr="00EE1ED5" w:rsidTr="004F3828">
        <w:trPr>
          <w:trHeight w:val="270"/>
        </w:trPr>
        <w:tc>
          <w:tcPr>
            <w:tcW w:w="1114" w:type="dxa"/>
            <w:tcBorders>
              <w:top w:val="nil"/>
              <w:left w:val="single" w:sz="8" w:space="0" w:color="auto"/>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A</w:t>
            </w:r>
          </w:p>
        </w:tc>
        <w:tc>
          <w:tcPr>
            <w:tcW w:w="2288" w:type="dxa"/>
            <w:tcBorders>
              <w:top w:val="nil"/>
              <w:left w:val="nil"/>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up to £40,000</w:t>
            </w:r>
          </w:p>
        </w:tc>
        <w:tc>
          <w:tcPr>
            <w:tcW w:w="1137" w:type="dxa"/>
            <w:tcBorders>
              <w:top w:val="nil"/>
              <w:left w:val="nil"/>
              <w:bottom w:val="single" w:sz="8" w:space="0" w:color="auto"/>
              <w:right w:val="single" w:sz="8" w:space="0" w:color="auto"/>
            </w:tcBorders>
            <w:noWrap/>
            <w:vAlign w:val="bottom"/>
          </w:tcPr>
          <w:p w:rsidR="002B619C" w:rsidRPr="008202A0" w:rsidRDefault="002B619C" w:rsidP="002B619C">
            <w:pPr>
              <w:jc w:val="right"/>
              <w:rPr>
                <w:rFonts w:cs="Arial"/>
                <w:color w:val="00B050"/>
                <w:sz w:val="20"/>
                <w:szCs w:val="20"/>
              </w:rPr>
            </w:pPr>
            <w:r>
              <w:rPr>
                <w:rFonts w:cs="Arial"/>
                <w:color w:val="00B050"/>
                <w:sz w:val="20"/>
                <w:szCs w:val="20"/>
              </w:rPr>
              <w:t>8</w:t>
            </w:r>
            <w:r w:rsidR="004E3EE7">
              <w:rPr>
                <w:rFonts w:cs="Arial"/>
                <w:color w:val="00B050"/>
                <w:sz w:val="20"/>
                <w:szCs w:val="20"/>
              </w:rPr>
              <w:t>40.23</w:t>
            </w:r>
          </w:p>
        </w:tc>
        <w:tc>
          <w:tcPr>
            <w:tcW w:w="1275" w:type="dxa"/>
            <w:tcBorders>
              <w:top w:val="nil"/>
              <w:left w:val="nil"/>
              <w:bottom w:val="single" w:sz="8" w:space="0" w:color="auto"/>
              <w:right w:val="single" w:sz="4" w:space="0" w:color="auto"/>
            </w:tcBorders>
            <w:noWrap/>
            <w:vAlign w:val="bottom"/>
          </w:tcPr>
          <w:p w:rsidR="002B619C" w:rsidRPr="008202A0" w:rsidRDefault="004E3EE7" w:rsidP="002B619C">
            <w:pPr>
              <w:jc w:val="right"/>
              <w:rPr>
                <w:rFonts w:cs="Arial"/>
                <w:color w:val="00B050"/>
                <w:sz w:val="20"/>
                <w:szCs w:val="20"/>
              </w:rPr>
            </w:pPr>
            <w:r>
              <w:rPr>
                <w:rFonts w:cs="Arial"/>
                <w:color w:val="00B050"/>
                <w:sz w:val="20"/>
                <w:szCs w:val="20"/>
              </w:rPr>
              <w:t>145.3</w:t>
            </w:r>
            <w:r w:rsidR="002B619C">
              <w:rPr>
                <w:rFonts w:cs="Arial"/>
                <w:color w:val="00B050"/>
                <w:sz w:val="20"/>
                <w:szCs w:val="20"/>
              </w:rPr>
              <w:t>1</w:t>
            </w:r>
          </w:p>
        </w:tc>
        <w:tc>
          <w:tcPr>
            <w:tcW w:w="996" w:type="dxa"/>
            <w:tcBorders>
              <w:top w:val="nil"/>
              <w:left w:val="single" w:sz="4" w:space="0" w:color="auto"/>
              <w:bottom w:val="single" w:sz="8" w:space="0" w:color="auto"/>
              <w:right w:val="single" w:sz="4" w:space="0" w:color="auto"/>
            </w:tcBorders>
            <w:vAlign w:val="center"/>
          </w:tcPr>
          <w:p w:rsidR="002B619C" w:rsidRPr="00D17853" w:rsidRDefault="004E3EE7" w:rsidP="002B619C">
            <w:pPr>
              <w:jc w:val="right"/>
              <w:rPr>
                <w:rFonts w:cs="Arial"/>
                <w:b/>
                <w:color w:val="00B050"/>
                <w:sz w:val="20"/>
                <w:szCs w:val="20"/>
              </w:rPr>
            </w:pPr>
            <w:r>
              <w:rPr>
                <w:rFonts w:cs="Arial"/>
                <w:b/>
                <w:color w:val="00B050"/>
                <w:sz w:val="20"/>
                <w:szCs w:val="20"/>
              </w:rPr>
              <w:t>985.54</w:t>
            </w:r>
          </w:p>
        </w:tc>
        <w:tc>
          <w:tcPr>
            <w:tcW w:w="1125" w:type="dxa"/>
            <w:tcBorders>
              <w:top w:val="nil"/>
              <w:left w:val="single" w:sz="4" w:space="0" w:color="auto"/>
              <w:bottom w:val="single" w:sz="8" w:space="0" w:color="auto"/>
              <w:right w:val="single" w:sz="8" w:space="0" w:color="auto"/>
            </w:tcBorders>
            <w:vAlign w:val="center"/>
          </w:tcPr>
          <w:p w:rsidR="002B619C" w:rsidRDefault="004E3EE7" w:rsidP="002B619C">
            <w:pPr>
              <w:jc w:val="right"/>
              <w:rPr>
                <w:rFonts w:cs="Arial"/>
                <w:color w:val="000000"/>
                <w:sz w:val="20"/>
                <w:szCs w:val="20"/>
              </w:rPr>
            </w:pPr>
            <w:r>
              <w:rPr>
                <w:rFonts w:cs="Arial"/>
                <w:color w:val="000000"/>
                <w:sz w:val="20"/>
                <w:szCs w:val="20"/>
              </w:rPr>
              <w:t>314.27</w:t>
            </w:r>
          </w:p>
        </w:tc>
        <w:tc>
          <w:tcPr>
            <w:tcW w:w="1137" w:type="dxa"/>
            <w:tcBorders>
              <w:top w:val="nil"/>
              <w:left w:val="nil"/>
              <w:bottom w:val="single" w:sz="8" w:space="0" w:color="auto"/>
              <w:right w:val="single" w:sz="8" w:space="0" w:color="auto"/>
            </w:tcBorders>
            <w:noWrap/>
            <w:vAlign w:val="center"/>
          </w:tcPr>
          <w:p w:rsidR="002B619C" w:rsidRDefault="004E3EE7" w:rsidP="002B619C">
            <w:pPr>
              <w:jc w:val="right"/>
              <w:rPr>
                <w:rFonts w:cs="Arial"/>
                <w:b/>
                <w:bCs/>
                <w:color w:val="000000"/>
                <w:sz w:val="20"/>
                <w:szCs w:val="20"/>
              </w:rPr>
            </w:pPr>
            <w:r>
              <w:rPr>
                <w:rFonts w:cs="Arial"/>
                <w:b/>
                <w:bCs/>
                <w:color w:val="000000"/>
                <w:sz w:val="20"/>
                <w:szCs w:val="20"/>
              </w:rPr>
              <w:t>1,299.81</w:t>
            </w:r>
          </w:p>
        </w:tc>
        <w:tc>
          <w:tcPr>
            <w:tcW w:w="1137" w:type="dxa"/>
            <w:tcBorders>
              <w:top w:val="nil"/>
              <w:left w:val="nil"/>
              <w:bottom w:val="single" w:sz="8" w:space="0" w:color="auto"/>
              <w:right w:val="single" w:sz="8" w:space="0" w:color="auto"/>
            </w:tcBorders>
            <w:noWrap/>
            <w:vAlign w:val="center"/>
          </w:tcPr>
          <w:p w:rsidR="002B619C" w:rsidRPr="002B619C" w:rsidRDefault="002B619C" w:rsidP="002B619C">
            <w:pPr>
              <w:ind w:left="142"/>
              <w:jc w:val="right"/>
              <w:rPr>
                <w:rFonts w:cs="Arial"/>
                <w:color w:val="000000"/>
                <w:sz w:val="20"/>
                <w:szCs w:val="20"/>
              </w:rPr>
            </w:pPr>
            <w:r w:rsidRPr="002B619C">
              <w:rPr>
                <w:rFonts w:cs="Arial"/>
                <w:color w:val="000000"/>
                <w:sz w:val="20"/>
                <w:szCs w:val="20"/>
              </w:rPr>
              <w:t>1,228.13</w:t>
            </w:r>
          </w:p>
        </w:tc>
      </w:tr>
      <w:tr w:rsidR="005F4635" w:rsidRPr="00EE1ED5" w:rsidTr="004F3828">
        <w:trPr>
          <w:trHeight w:val="270"/>
        </w:trPr>
        <w:tc>
          <w:tcPr>
            <w:tcW w:w="1114" w:type="dxa"/>
            <w:tcBorders>
              <w:top w:val="nil"/>
              <w:left w:val="single" w:sz="8" w:space="0" w:color="auto"/>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 xml:space="preserve">B </w:t>
            </w:r>
          </w:p>
        </w:tc>
        <w:tc>
          <w:tcPr>
            <w:tcW w:w="2288" w:type="dxa"/>
            <w:tcBorders>
              <w:top w:val="nil"/>
              <w:left w:val="nil"/>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£40,001 to £52,000</w:t>
            </w:r>
          </w:p>
        </w:tc>
        <w:tc>
          <w:tcPr>
            <w:tcW w:w="1137" w:type="dxa"/>
            <w:tcBorders>
              <w:top w:val="nil"/>
              <w:left w:val="nil"/>
              <w:bottom w:val="single" w:sz="8" w:space="0" w:color="auto"/>
              <w:right w:val="single" w:sz="8" w:space="0" w:color="auto"/>
            </w:tcBorders>
            <w:noWrap/>
            <w:vAlign w:val="bottom"/>
          </w:tcPr>
          <w:p w:rsidR="002B619C" w:rsidRPr="008202A0" w:rsidRDefault="002B619C" w:rsidP="002B619C">
            <w:pPr>
              <w:jc w:val="right"/>
              <w:rPr>
                <w:rFonts w:cs="Arial"/>
                <w:color w:val="00B050"/>
                <w:sz w:val="20"/>
                <w:szCs w:val="20"/>
              </w:rPr>
            </w:pPr>
            <w:r>
              <w:rPr>
                <w:rFonts w:cs="Arial"/>
                <w:color w:val="00B050"/>
                <w:sz w:val="20"/>
                <w:szCs w:val="20"/>
              </w:rPr>
              <w:t>9</w:t>
            </w:r>
            <w:r w:rsidR="004E3EE7">
              <w:rPr>
                <w:rFonts w:cs="Arial"/>
                <w:color w:val="00B050"/>
                <w:sz w:val="20"/>
                <w:szCs w:val="20"/>
              </w:rPr>
              <w:t>80.27</w:t>
            </w:r>
          </w:p>
        </w:tc>
        <w:tc>
          <w:tcPr>
            <w:tcW w:w="1275" w:type="dxa"/>
            <w:tcBorders>
              <w:top w:val="nil"/>
              <w:left w:val="nil"/>
              <w:bottom w:val="single" w:sz="8" w:space="0" w:color="auto"/>
              <w:right w:val="single" w:sz="4" w:space="0" w:color="auto"/>
            </w:tcBorders>
            <w:noWrap/>
            <w:vAlign w:val="bottom"/>
          </w:tcPr>
          <w:p w:rsidR="002B619C" w:rsidRPr="008202A0" w:rsidRDefault="004E3EE7" w:rsidP="002B619C">
            <w:pPr>
              <w:jc w:val="right"/>
              <w:rPr>
                <w:rFonts w:cs="Arial"/>
                <w:color w:val="00B050"/>
                <w:sz w:val="20"/>
                <w:szCs w:val="20"/>
              </w:rPr>
            </w:pPr>
            <w:r>
              <w:rPr>
                <w:rFonts w:cs="Arial"/>
                <w:color w:val="00B050"/>
                <w:sz w:val="20"/>
                <w:szCs w:val="20"/>
              </w:rPr>
              <w:t>169.53</w:t>
            </w:r>
          </w:p>
        </w:tc>
        <w:tc>
          <w:tcPr>
            <w:tcW w:w="996" w:type="dxa"/>
            <w:tcBorders>
              <w:top w:val="nil"/>
              <w:left w:val="single" w:sz="4" w:space="0" w:color="auto"/>
              <w:bottom w:val="single" w:sz="8" w:space="0" w:color="auto"/>
              <w:right w:val="single" w:sz="4" w:space="0" w:color="auto"/>
            </w:tcBorders>
            <w:vAlign w:val="center"/>
          </w:tcPr>
          <w:p w:rsidR="002B619C" w:rsidRPr="00D17853" w:rsidRDefault="002B619C" w:rsidP="002B619C">
            <w:pPr>
              <w:jc w:val="right"/>
              <w:rPr>
                <w:rFonts w:cs="Arial"/>
                <w:b/>
                <w:color w:val="00B050"/>
                <w:sz w:val="20"/>
                <w:szCs w:val="20"/>
              </w:rPr>
            </w:pPr>
            <w:r>
              <w:rPr>
                <w:rFonts w:cs="Arial"/>
                <w:b/>
                <w:color w:val="00B050"/>
                <w:sz w:val="20"/>
                <w:szCs w:val="20"/>
              </w:rPr>
              <w:t>1,</w:t>
            </w:r>
            <w:r w:rsidR="004E3EE7">
              <w:rPr>
                <w:rFonts w:cs="Arial"/>
                <w:b/>
                <w:color w:val="00B050"/>
                <w:sz w:val="20"/>
                <w:szCs w:val="20"/>
              </w:rPr>
              <w:t>149.80</w:t>
            </w:r>
          </w:p>
        </w:tc>
        <w:tc>
          <w:tcPr>
            <w:tcW w:w="1125" w:type="dxa"/>
            <w:tcBorders>
              <w:top w:val="nil"/>
              <w:left w:val="single" w:sz="4" w:space="0" w:color="auto"/>
              <w:bottom w:val="single" w:sz="8" w:space="0" w:color="auto"/>
              <w:right w:val="single" w:sz="8" w:space="0" w:color="auto"/>
            </w:tcBorders>
            <w:vAlign w:val="center"/>
          </w:tcPr>
          <w:p w:rsidR="002B619C" w:rsidRDefault="002B619C" w:rsidP="002B619C">
            <w:pPr>
              <w:jc w:val="right"/>
              <w:rPr>
                <w:rFonts w:cs="Arial"/>
                <w:color w:val="000000"/>
                <w:sz w:val="20"/>
                <w:szCs w:val="20"/>
              </w:rPr>
            </w:pPr>
            <w:r>
              <w:rPr>
                <w:rFonts w:cs="Arial"/>
                <w:color w:val="000000"/>
                <w:sz w:val="20"/>
                <w:szCs w:val="20"/>
              </w:rPr>
              <w:t>3</w:t>
            </w:r>
            <w:r w:rsidR="004E3EE7">
              <w:rPr>
                <w:rFonts w:cs="Arial"/>
                <w:color w:val="000000"/>
                <w:sz w:val="20"/>
                <w:szCs w:val="20"/>
              </w:rPr>
              <w:t>66.64</w:t>
            </w:r>
          </w:p>
        </w:tc>
        <w:tc>
          <w:tcPr>
            <w:tcW w:w="1137" w:type="dxa"/>
            <w:tcBorders>
              <w:top w:val="nil"/>
              <w:left w:val="nil"/>
              <w:bottom w:val="single" w:sz="8" w:space="0" w:color="auto"/>
              <w:right w:val="single" w:sz="8" w:space="0" w:color="auto"/>
            </w:tcBorders>
            <w:noWrap/>
            <w:vAlign w:val="center"/>
          </w:tcPr>
          <w:p w:rsidR="002B619C" w:rsidRDefault="004E3EE7" w:rsidP="002B619C">
            <w:pPr>
              <w:jc w:val="right"/>
              <w:rPr>
                <w:rFonts w:cs="Arial"/>
                <w:b/>
                <w:bCs/>
                <w:color w:val="000000"/>
                <w:sz w:val="20"/>
                <w:szCs w:val="20"/>
              </w:rPr>
            </w:pPr>
            <w:r>
              <w:rPr>
                <w:rFonts w:cs="Arial"/>
                <w:b/>
                <w:bCs/>
                <w:color w:val="000000"/>
                <w:sz w:val="20"/>
                <w:szCs w:val="20"/>
              </w:rPr>
              <w:t>1,516.44</w:t>
            </w:r>
          </w:p>
        </w:tc>
        <w:tc>
          <w:tcPr>
            <w:tcW w:w="1137" w:type="dxa"/>
            <w:tcBorders>
              <w:top w:val="nil"/>
              <w:left w:val="nil"/>
              <w:bottom w:val="single" w:sz="8" w:space="0" w:color="auto"/>
              <w:right w:val="single" w:sz="8" w:space="0" w:color="auto"/>
            </w:tcBorders>
            <w:noWrap/>
            <w:vAlign w:val="center"/>
          </w:tcPr>
          <w:p w:rsidR="002B619C" w:rsidRPr="002B619C" w:rsidRDefault="002B619C" w:rsidP="002B619C">
            <w:pPr>
              <w:ind w:left="142"/>
              <w:jc w:val="right"/>
              <w:rPr>
                <w:rFonts w:cs="Arial"/>
                <w:color w:val="000000"/>
                <w:sz w:val="20"/>
                <w:szCs w:val="20"/>
              </w:rPr>
            </w:pPr>
            <w:r w:rsidRPr="002B619C">
              <w:rPr>
                <w:rFonts w:cs="Arial"/>
                <w:color w:val="000000"/>
                <w:sz w:val="20"/>
                <w:szCs w:val="20"/>
              </w:rPr>
              <w:t>1,432.81</w:t>
            </w:r>
          </w:p>
        </w:tc>
      </w:tr>
      <w:tr w:rsidR="005F4635" w:rsidRPr="00EE1ED5" w:rsidTr="004F3828">
        <w:trPr>
          <w:trHeight w:val="270"/>
        </w:trPr>
        <w:tc>
          <w:tcPr>
            <w:tcW w:w="1114" w:type="dxa"/>
            <w:tcBorders>
              <w:top w:val="nil"/>
              <w:left w:val="single" w:sz="8" w:space="0" w:color="auto"/>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C</w:t>
            </w:r>
          </w:p>
        </w:tc>
        <w:tc>
          <w:tcPr>
            <w:tcW w:w="2288" w:type="dxa"/>
            <w:tcBorders>
              <w:top w:val="nil"/>
              <w:left w:val="nil"/>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£52,001 to £68,000</w:t>
            </w:r>
          </w:p>
        </w:tc>
        <w:tc>
          <w:tcPr>
            <w:tcW w:w="1137" w:type="dxa"/>
            <w:tcBorders>
              <w:top w:val="nil"/>
              <w:left w:val="nil"/>
              <w:bottom w:val="single" w:sz="8" w:space="0" w:color="auto"/>
              <w:right w:val="single" w:sz="8" w:space="0" w:color="auto"/>
            </w:tcBorders>
            <w:noWrap/>
            <w:vAlign w:val="bottom"/>
          </w:tcPr>
          <w:p w:rsidR="002B619C" w:rsidRPr="008202A0" w:rsidRDefault="002B619C" w:rsidP="002B619C">
            <w:pPr>
              <w:jc w:val="right"/>
              <w:rPr>
                <w:rFonts w:cs="Arial"/>
                <w:color w:val="00B050"/>
                <w:sz w:val="20"/>
                <w:szCs w:val="20"/>
              </w:rPr>
            </w:pPr>
            <w:r>
              <w:rPr>
                <w:rFonts w:cs="Arial"/>
                <w:color w:val="00B050"/>
                <w:sz w:val="20"/>
                <w:szCs w:val="20"/>
              </w:rPr>
              <w:t>1</w:t>
            </w:r>
            <w:r w:rsidR="00E65F38">
              <w:rPr>
                <w:rFonts w:cs="Arial"/>
                <w:color w:val="00B050"/>
                <w:sz w:val="20"/>
                <w:szCs w:val="20"/>
              </w:rPr>
              <w:t>,120.31</w:t>
            </w:r>
          </w:p>
        </w:tc>
        <w:tc>
          <w:tcPr>
            <w:tcW w:w="1275" w:type="dxa"/>
            <w:tcBorders>
              <w:top w:val="nil"/>
              <w:left w:val="nil"/>
              <w:bottom w:val="single" w:sz="8" w:space="0" w:color="auto"/>
              <w:right w:val="single" w:sz="4" w:space="0" w:color="auto"/>
            </w:tcBorders>
            <w:noWrap/>
            <w:vAlign w:val="bottom"/>
          </w:tcPr>
          <w:p w:rsidR="002B619C" w:rsidRPr="008202A0" w:rsidRDefault="00E65F38" w:rsidP="002B619C">
            <w:pPr>
              <w:jc w:val="right"/>
              <w:rPr>
                <w:rFonts w:cs="Arial"/>
                <w:color w:val="00B050"/>
                <w:sz w:val="20"/>
                <w:szCs w:val="20"/>
              </w:rPr>
            </w:pPr>
            <w:r>
              <w:rPr>
                <w:rFonts w:cs="Arial"/>
                <w:color w:val="00B050"/>
                <w:sz w:val="20"/>
                <w:szCs w:val="20"/>
              </w:rPr>
              <w:t>193.74</w:t>
            </w:r>
          </w:p>
        </w:tc>
        <w:tc>
          <w:tcPr>
            <w:tcW w:w="996" w:type="dxa"/>
            <w:tcBorders>
              <w:top w:val="nil"/>
              <w:left w:val="single" w:sz="4" w:space="0" w:color="auto"/>
              <w:bottom w:val="single" w:sz="8" w:space="0" w:color="auto"/>
              <w:right w:val="single" w:sz="4" w:space="0" w:color="auto"/>
            </w:tcBorders>
            <w:vAlign w:val="center"/>
          </w:tcPr>
          <w:p w:rsidR="002B619C" w:rsidRPr="00D17853" w:rsidRDefault="002B619C" w:rsidP="002B619C">
            <w:pPr>
              <w:jc w:val="right"/>
              <w:rPr>
                <w:rFonts w:cs="Arial"/>
                <w:b/>
                <w:color w:val="00B050"/>
                <w:sz w:val="20"/>
                <w:szCs w:val="20"/>
              </w:rPr>
            </w:pPr>
            <w:r>
              <w:rPr>
                <w:rFonts w:cs="Arial"/>
                <w:b/>
                <w:color w:val="00B050"/>
                <w:sz w:val="20"/>
                <w:szCs w:val="20"/>
              </w:rPr>
              <w:t>1,</w:t>
            </w:r>
            <w:r w:rsidR="005F4635">
              <w:rPr>
                <w:rFonts w:cs="Arial"/>
                <w:b/>
                <w:color w:val="00B050"/>
                <w:sz w:val="20"/>
                <w:szCs w:val="20"/>
              </w:rPr>
              <w:t>314.05</w:t>
            </w:r>
          </w:p>
        </w:tc>
        <w:tc>
          <w:tcPr>
            <w:tcW w:w="1125" w:type="dxa"/>
            <w:tcBorders>
              <w:top w:val="nil"/>
              <w:left w:val="single" w:sz="4" w:space="0" w:color="auto"/>
              <w:bottom w:val="single" w:sz="8" w:space="0" w:color="auto"/>
              <w:right w:val="single" w:sz="8" w:space="0" w:color="auto"/>
            </w:tcBorders>
            <w:vAlign w:val="center"/>
          </w:tcPr>
          <w:p w:rsidR="002B619C" w:rsidRDefault="004E3EE7" w:rsidP="002B619C">
            <w:pPr>
              <w:jc w:val="right"/>
              <w:rPr>
                <w:rFonts w:cs="Arial"/>
                <w:color w:val="000000"/>
                <w:sz w:val="20"/>
                <w:szCs w:val="20"/>
              </w:rPr>
            </w:pPr>
            <w:r>
              <w:rPr>
                <w:rFonts w:cs="Arial"/>
                <w:color w:val="000000"/>
                <w:sz w:val="20"/>
                <w:szCs w:val="20"/>
              </w:rPr>
              <w:t>419.02</w:t>
            </w:r>
          </w:p>
        </w:tc>
        <w:tc>
          <w:tcPr>
            <w:tcW w:w="1137" w:type="dxa"/>
            <w:tcBorders>
              <w:top w:val="nil"/>
              <w:left w:val="nil"/>
              <w:bottom w:val="single" w:sz="8" w:space="0" w:color="auto"/>
              <w:right w:val="single" w:sz="8" w:space="0" w:color="auto"/>
            </w:tcBorders>
            <w:noWrap/>
            <w:vAlign w:val="center"/>
          </w:tcPr>
          <w:p w:rsidR="002B619C" w:rsidRDefault="004E3EE7" w:rsidP="002B619C">
            <w:pPr>
              <w:jc w:val="right"/>
              <w:rPr>
                <w:rFonts w:cs="Arial"/>
                <w:b/>
                <w:bCs/>
                <w:color w:val="000000"/>
                <w:sz w:val="20"/>
                <w:szCs w:val="20"/>
              </w:rPr>
            </w:pPr>
            <w:r>
              <w:rPr>
                <w:rFonts w:cs="Arial"/>
                <w:b/>
                <w:bCs/>
                <w:color w:val="000000"/>
                <w:sz w:val="20"/>
                <w:szCs w:val="20"/>
              </w:rPr>
              <w:t>1,733.07</w:t>
            </w:r>
          </w:p>
        </w:tc>
        <w:tc>
          <w:tcPr>
            <w:tcW w:w="1137" w:type="dxa"/>
            <w:tcBorders>
              <w:top w:val="nil"/>
              <w:left w:val="nil"/>
              <w:bottom w:val="single" w:sz="8" w:space="0" w:color="auto"/>
              <w:right w:val="single" w:sz="8" w:space="0" w:color="auto"/>
            </w:tcBorders>
            <w:noWrap/>
            <w:vAlign w:val="center"/>
          </w:tcPr>
          <w:p w:rsidR="002B619C" w:rsidRPr="002B619C" w:rsidRDefault="002B619C" w:rsidP="002B619C">
            <w:pPr>
              <w:ind w:left="142"/>
              <w:jc w:val="right"/>
              <w:rPr>
                <w:rFonts w:cs="Arial"/>
                <w:color w:val="000000"/>
                <w:sz w:val="20"/>
                <w:szCs w:val="20"/>
              </w:rPr>
            </w:pPr>
            <w:r w:rsidRPr="002B619C">
              <w:rPr>
                <w:rFonts w:cs="Arial"/>
                <w:color w:val="000000"/>
                <w:sz w:val="20"/>
                <w:szCs w:val="20"/>
              </w:rPr>
              <w:t>1,637.50</w:t>
            </w:r>
          </w:p>
        </w:tc>
      </w:tr>
      <w:tr w:rsidR="005F4635" w:rsidRPr="00EE1ED5" w:rsidTr="004F3828">
        <w:trPr>
          <w:trHeight w:val="270"/>
        </w:trPr>
        <w:tc>
          <w:tcPr>
            <w:tcW w:w="1114" w:type="dxa"/>
            <w:tcBorders>
              <w:top w:val="nil"/>
              <w:left w:val="single" w:sz="8" w:space="0" w:color="auto"/>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D</w:t>
            </w:r>
          </w:p>
        </w:tc>
        <w:tc>
          <w:tcPr>
            <w:tcW w:w="2288" w:type="dxa"/>
            <w:tcBorders>
              <w:top w:val="nil"/>
              <w:left w:val="nil"/>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£68,001 to £88,000</w:t>
            </w:r>
          </w:p>
        </w:tc>
        <w:tc>
          <w:tcPr>
            <w:tcW w:w="1137" w:type="dxa"/>
            <w:tcBorders>
              <w:top w:val="nil"/>
              <w:left w:val="nil"/>
              <w:bottom w:val="single" w:sz="8" w:space="0" w:color="auto"/>
              <w:right w:val="single" w:sz="8" w:space="0" w:color="auto"/>
            </w:tcBorders>
            <w:noWrap/>
            <w:vAlign w:val="bottom"/>
          </w:tcPr>
          <w:p w:rsidR="002B619C" w:rsidRPr="008202A0" w:rsidRDefault="002B619C" w:rsidP="002B619C">
            <w:pPr>
              <w:jc w:val="right"/>
              <w:rPr>
                <w:rFonts w:cs="Arial"/>
                <w:color w:val="00B050"/>
                <w:sz w:val="20"/>
                <w:szCs w:val="20"/>
              </w:rPr>
            </w:pPr>
            <w:r>
              <w:rPr>
                <w:rFonts w:cs="Arial"/>
                <w:color w:val="00B050"/>
                <w:sz w:val="20"/>
                <w:szCs w:val="20"/>
              </w:rPr>
              <w:t>1,2</w:t>
            </w:r>
            <w:r w:rsidR="00E65F38">
              <w:rPr>
                <w:rFonts w:cs="Arial"/>
                <w:color w:val="00B050"/>
                <w:sz w:val="20"/>
                <w:szCs w:val="20"/>
              </w:rPr>
              <w:t>60.35</w:t>
            </w:r>
          </w:p>
        </w:tc>
        <w:tc>
          <w:tcPr>
            <w:tcW w:w="1275" w:type="dxa"/>
            <w:tcBorders>
              <w:top w:val="nil"/>
              <w:left w:val="nil"/>
              <w:bottom w:val="single" w:sz="8" w:space="0" w:color="auto"/>
              <w:right w:val="single" w:sz="4" w:space="0" w:color="auto"/>
            </w:tcBorders>
            <w:noWrap/>
            <w:vAlign w:val="bottom"/>
          </w:tcPr>
          <w:p w:rsidR="002B619C" w:rsidRPr="008202A0" w:rsidRDefault="00E65F38" w:rsidP="002B619C">
            <w:pPr>
              <w:jc w:val="right"/>
              <w:rPr>
                <w:rFonts w:cs="Arial"/>
                <w:color w:val="00B050"/>
                <w:sz w:val="20"/>
                <w:szCs w:val="20"/>
              </w:rPr>
            </w:pPr>
            <w:r>
              <w:rPr>
                <w:rFonts w:cs="Arial"/>
                <w:color w:val="00B050"/>
                <w:sz w:val="20"/>
                <w:szCs w:val="20"/>
              </w:rPr>
              <w:t>217.96</w:t>
            </w:r>
          </w:p>
        </w:tc>
        <w:tc>
          <w:tcPr>
            <w:tcW w:w="996" w:type="dxa"/>
            <w:tcBorders>
              <w:top w:val="nil"/>
              <w:left w:val="single" w:sz="4" w:space="0" w:color="auto"/>
              <w:bottom w:val="single" w:sz="8" w:space="0" w:color="auto"/>
              <w:right w:val="single" w:sz="4" w:space="0" w:color="auto"/>
            </w:tcBorders>
            <w:vAlign w:val="center"/>
          </w:tcPr>
          <w:p w:rsidR="002B619C" w:rsidRPr="00D17853" w:rsidRDefault="002B619C" w:rsidP="002B619C">
            <w:pPr>
              <w:jc w:val="right"/>
              <w:rPr>
                <w:rFonts w:cs="Arial"/>
                <w:b/>
                <w:color w:val="00B050"/>
                <w:sz w:val="20"/>
                <w:szCs w:val="20"/>
              </w:rPr>
            </w:pPr>
            <w:r>
              <w:rPr>
                <w:rFonts w:cs="Arial"/>
                <w:b/>
                <w:color w:val="00B050"/>
                <w:sz w:val="20"/>
                <w:szCs w:val="20"/>
              </w:rPr>
              <w:t>1,4</w:t>
            </w:r>
            <w:r w:rsidR="005F4635">
              <w:rPr>
                <w:rFonts w:cs="Arial"/>
                <w:b/>
                <w:color w:val="00B050"/>
                <w:sz w:val="20"/>
                <w:szCs w:val="20"/>
              </w:rPr>
              <w:t>78.31</w:t>
            </w:r>
          </w:p>
        </w:tc>
        <w:tc>
          <w:tcPr>
            <w:tcW w:w="1125" w:type="dxa"/>
            <w:tcBorders>
              <w:top w:val="nil"/>
              <w:left w:val="single" w:sz="4" w:space="0" w:color="auto"/>
              <w:bottom w:val="single" w:sz="8" w:space="0" w:color="auto"/>
              <w:right w:val="single" w:sz="8" w:space="0" w:color="auto"/>
            </w:tcBorders>
            <w:vAlign w:val="center"/>
          </w:tcPr>
          <w:p w:rsidR="002B619C" w:rsidRDefault="004E3EE7" w:rsidP="002B619C">
            <w:pPr>
              <w:jc w:val="right"/>
              <w:rPr>
                <w:rFonts w:cs="Arial"/>
                <w:color w:val="000000"/>
                <w:sz w:val="20"/>
                <w:szCs w:val="20"/>
              </w:rPr>
            </w:pPr>
            <w:r>
              <w:rPr>
                <w:rFonts w:cs="Arial"/>
                <w:color w:val="000000"/>
                <w:sz w:val="20"/>
                <w:szCs w:val="20"/>
              </w:rPr>
              <w:t>471.40</w:t>
            </w:r>
          </w:p>
        </w:tc>
        <w:tc>
          <w:tcPr>
            <w:tcW w:w="1137" w:type="dxa"/>
            <w:tcBorders>
              <w:top w:val="nil"/>
              <w:left w:val="nil"/>
              <w:bottom w:val="single" w:sz="8" w:space="0" w:color="auto"/>
              <w:right w:val="single" w:sz="8" w:space="0" w:color="auto"/>
            </w:tcBorders>
            <w:noWrap/>
            <w:vAlign w:val="center"/>
          </w:tcPr>
          <w:p w:rsidR="002B619C" w:rsidRDefault="004E3EE7" w:rsidP="002B619C">
            <w:pPr>
              <w:jc w:val="right"/>
              <w:rPr>
                <w:rFonts w:cs="Arial"/>
                <w:b/>
                <w:bCs/>
                <w:color w:val="000000"/>
                <w:sz w:val="20"/>
                <w:szCs w:val="20"/>
              </w:rPr>
            </w:pPr>
            <w:r>
              <w:rPr>
                <w:rFonts w:cs="Arial"/>
                <w:b/>
                <w:bCs/>
                <w:color w:val="000000"/>
                <w:sz w:val="20"/>
                <w:szCs w:val="20"/>
              </w:rPr>
              <w:t>1,949.71</w:t>
            </w:r>
          </w:p>
        </w:tc>
        <w:tc>
          <w:tcPr>
            <w:tcW w:w="1137" w:type="dxa"/>
            <w:tcBorders>
              <w:top w:val="nil"/>
              <w:left w:val="nil"/>
              <w:bottom w:val="single" w:sz="8" w:space="0" w:color="auto"/>
              <w:right w:val="single" w:sz="8" w:space="0" w:color="auto"/>
            </w:tcBorders>
            <w:noWrap/>
            <w:vAlign w:val="center"/>
          </w:tcPr>
          <w:p w:rsidR="002B619C" w:rsidRPr="002B619C" w:rsidRDefault="002B619C" w:rsidP="002B619C">
            <w:pPr>
              <w:ind w:left="142"/>
              <w:jc w:val="right"/>
              <w:rPr>
                <w:rFonts w:cs="Arial"/>
                <w:color w:val="000000"/>
                <w:sz w:val="20"/>
                <w:szCs w:val="20"/>
              </w:rPr>
            </w:pPr>
            <w:r w:rsidRPr="002B619C">
              <w:rPr>
                <w:rFonts w:cs="Arial"/>
                <w:color w:val="000000"/>
                <w:sz w:val="20"/>
                <w:szCs w:val="20"/>
              </w:rPr>
              <w:t>1,842.19</w:t>
            </w:r>
          </w:p>
        </w:tc>
      </w:tr>
      <w:tr w:rsidR="005F4635" w:rsidRPr="00EE1ED5" w:rsidTr="004F3828">
        <w:trPr>
          <w:trHeight w:val="270"/>
        </w:trPr>
        <w:tc>
          <w:tcPr>
            <w:tcW w:w="1114" w:type="dxa"/>
            <w:tcBorders>
              <w:top w:val="nil"/>
              <w:left w:val="single" w:sz="8" w:space="0" w:color="auto"/>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 xml:space="preserve">E </w:t>
            </w:r>
          </w:p>
        </w:tc>
        <w:tc>
          <w:tcPr>
            <w:tcW w:w="2288" w:type="dxa"/>
            <w:tcBorders>
              <w:top w:val="nil"/>
              <w:left w:val="nil"/>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£88,001 to £120,000</w:t>
            </w:r>
          </w:p>
        </w:tc>
        <w:tc>
          <w:tcPr>
            <w:tcW w:w="1137" w:type="dxa"/>
            <w:tcBorders>
              <w:top w:val="nil"/>
              <w:left w:val="nil"/>
              <w:bottom w:val="single" w:sz="8" w:space="0" w:color="auto"/>
              <w:right w:val="single" w:sz="8" w:space="0" w:color="auto"/>
            </w:tcBorders>
            <w:noWrap/>
            <w:vAlign w:val="bottom"/>
          </w:tcPr>
          <w:p w:rsidR="002B619C" w:rsidRPr="008202A0" w:rsidRDefault="002B619C" w:rsidP="002B619C">
            <w:pPr>
              <w:jc w:val="right"/>
              <w:rPr>
                <w:rFonts w:cs="Arial"/>
                <w:color w:val="00B050"/>
                <w:sz w:val="20"/>
                <w:szCs w:val="20"/>
              </w:rPr>
            </w:pPr>
            <w:r>
              <w:rPr>
                <w:rFonts w:cs="Arial"/>
                <w:color w:val="00B050"/>
                <w:sz w:val="20"/>
                <w:szCs w:val="20"/>
              </w:rPr>
              <w:t>1,</w:t>
            </w:r>
            <w:r w:rsidR="00E65F38">
              <w:rPr>
                <w:rFonts w:cs="Arial"/>
                <w:color w:val="00B050"/>
                <w:sz w:val="20"/>
                <w:szCs w:val="20"/>
              </w:rPr>
              <w:t>540.42</w:t>
            </w:r>
          </w:p>
        </w:tc>
        <w:tc>
          <w:tcPr>
            <w:tcW w:w="1275" w:type="dxa"/>
            <w:tcBorders>
              <w:top w:val="nil"/>
              <w:left w:val="nil"/>
              <w:bottom w:val="single" w:sz="8" w:space="0" w:color="auto"/>
              <w:right w:val="single" w:sz="4" w:space="0" w:color="auto"/>
            </w:tcBorders>
            <w:noWrap/>
            <w:vAlign w:val="bottom"/>
          </w:tcPr>
          <w:p w:rsidR="002B619C" w:rsidRPr="008202A0" w:rsidRDefault="00E65F38" w:rsidP="002B619C">
            <w:pPr>
              <w:jc w:val="right"/>
              <w:rPr>
                <w:rFonts w:cs="Arial"/>
                <w:color w:val="00B050"/>
                <w:sz w:val="20"/>
                <w:szCs w:val="20"/>
              </w:rPr>
            </w:pPr>
            <w:r>
              <w:rPr>
                <w:rFonts w:cs="Arial"/>
                <w:color w:val="00B050"/>
                <w:sz w:val="20"/>
                <w:szCs w:val="20"/>
              </w:rPr>
              <w:t>266.40</w:t>
            </w:r>
          </w:p>
        </w:tc>
        <w:tc>
          <w:tcPr>
            <w:tcW w:w="996" w:type="dxa"/>
            <w:tcBorders>
              <w:top w:val="nil"/>
              <w:left w:val="single" w:sz="4" w:space="0" w:color="auto"/>
              <w:bottom w:val="single" w:sz="8" w:space="0" w:color="auto"/>
              <w:right w:val="single" w:sz="4" w:space="0" w:color="auto"/>
            </w:tcBorders>
            <w:vAlign w:val="center"/>
          </w:tcPr>
          <w:p w:rsidR="002B619C" w:rsidRPr="00D17853" w:rsidRDefault="002B619C" w:rsidP="002B619C">
            <w:pPr>
              <w:jc w:val="right"/>
              <w:rPr>
                <w:rFonts w:cs="Arial"/>
                <w:b/>
                <w:color w:val="00B050"/>
                <w:sz w:val="20"/>
                <w:szCs w:val="20"/>
              </w:rPr>
            </w:pPr>
            <w:r>
              <w:rPr>
                <w:rFonts w:cs="Arial"/>
                <w:b/>
                <w:color w:val="00B050"/>
                <w:sz w:val="20"/>
                <w:szCs w:val="20"/>
              </w:rPr>
              <w:t>1,</w:t>
            </w:r>
            <w:r w:rsidR="005F4635">
              <w:rPr>
                <w:rFonts w:cs="Arial"/>
                <w:b/>
                <w:color w:val="00B050"/>
                <w:sz w:val="20"/>
                <w:szCs w:val="20"/>
              </w:rPr>
              <w:t>806.62</w:t>
            </w:r>
          </w:p>
        </w:tc>
        <w:tc>
          <w:tcPr>
            <w:tcW w:w="1125" w:type="dxa"/>
            <w:tcBorders>
              <w:top w:val="nil"/>
              <w:left w:val="single" w:sz="4" w:space="0" w:color="auto"/>
              <w:bottom w:val="single" w:sz="8" w:space="0" w:color="auto"/>
              <w:right w:val="single" w:sz="8" w:space="0" w:color="auto"/>
            </w:tcBorders>
            <w:vAlign w:val="center"/>
          </w:tcPr>
          <w:p w:rsidR="002B619C" w:rsidRDefault="004E3EE7" w:rsidP="002B619C">
            <w:pPr>
              <w:jc w:val="right"/>
              <w:rPr>
                <w:rFonts w:cs="Arial"/>
                <w:color w:val="000000"/>
                <w:sz w:val="20"/>
                <w:szCs w:val="20"/>
              </w:rPr>
            </w:pPr>
            <w:r>
              <w:rPr>
                <w:rFonts w:cs="Arial"/>
                <w:color w:val="000000"/>
                <w:sz w:val="20"/>
                <w:szCs w:val="20"/>
              </w:rPr>
              <w:t>576.16</w:t>
            </w:r>
          </w:p>
        </w:tc>
        <w:tc>
          <w:tcPr>
            <w:tcW w:w="1137" w:type="dxa"/>
            <w:tcBorders>
              <w:top w:val="nil"/>
              <w:left w:val="nil"/>
              <w:bottom w:val="single" w:sz="8" w:space="0" w:color="auto"/>
              <w:right w:val="single" w:sz="8" w:space="0" w:color="auto"/>
            </w:tcBorders>
            <w:noWrap/>
            <w:vAlign w:val="center"/>
          </w:tcPr>
          <w:p w:rsidR="002B619C" w:rsidRDefault="004E3EE7" w:rsidP="002B619C">
            <w:pPr>
              <w:jc w:val="right"/>
              <w:rPr>
                <w:rFonts w:cs="Arial"/>
                <w:b/>
                <w:bCs/>
                <w:color w:val="000000"/>
                <w:sz w:val="20"/>
                <w:szCs w:val="20"/>
              </w:rPr>
            </w:pPr>
            <w:r>
              <w:rPr>
                <w:rFonts w:cs="Arial"/>
                <w:b/>
                <w:bCs/>
                <w:color w:val="000000"/>
                <w:sz w:val="20"/>
                <w:szCs w:val="20"/>
              </w:rPr>
              <w:t>2,382.98</w:t>
            </w:r>
          </w:p>
        </w:tc>
        <w:tc>
          <w:tcPr>
            <w:tcW w:w="1137" w:type="dxa"/>
            <w:tcBorders>
              <w:top w:val="nil"/>
              <w:left w:val="nil"/>
              <w:bottom w:val="single" w:sz="8" w:space="0" w:color="auto"/>
              <w:right w:val="single" w:sz="8" w:space="0" w:color="auto"/>
            </w:tcBorders>
            <w:noWrap/>
            <w:vAlign w:val="center"/>
          </w:tcPr>
          <w:p w:rsidR="002B619C" w:rsidRPr="002B619C" w:rsidRDefault="002B619C" w:rsidP="002B619C">
            <w:pPr>
              <w:ind w:left="142"/>
              <w:jc w:val="right"/>
              <w:rPr>
                <w:rFonts w:cs="Arial"/>
                <w:color w:val="000000"/>
                <w:sz w:val="20"/>
                <w:szCs w:val="20"/>
              </w:rPr>
            </w:pPr>
            <w:r w:rsidRPr="002B619C">
              <w:rPr>
                <w:rFonts w:cs="Arial"/>
                <w:color w:val="000000"/>
                <w:sz w:val="20"/>
                <w:szCs w:val="20"/>
              </w:rPr>
              <w:t>2,251.57</w:t>
            </w:r>
          </w:p>
        </w:tc>
      </w:tr>
      <w:tr w:rsidR="005F4635" w:rsidRPr="00EE1ED5" w:rsidTr="004F3828">
        <w:trPr>
          <w:trHeight w:val="270"/>
        </w:trPr>
        <w:tc>
          <w:tcPr>
            <w:tcW w:w="1114" w:type="dxa"/>
            <w:tcBorders>
              <w:top w:val="nil"/>
              <w:left w:val="single" w:sz="8" w:space="0" w:color="auto"/>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F</w:t>
            </w:r>
          </w:p>
        </w:tc>
        <w:tc>
          <w:tcPr>
            <w:tcW w:w="2288" w:type="dxa"/>
            <w:tcBorders>
              <w:top w:val="nil"/>
              <w:left w:val="nil"/>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£120,001 to £160,00</w:t>
            </w:r>
            <w:r>
              <w:rPr>
                <w:rFonts w:cs="Arial"/>
                <w:color w:val="000000"/>
                <w:sz w:val="20"/>
                <w:szCs w:val="20"/>
              </w:rPr>
              <w:t>0</w:t>
            </w:r>
          </w:p>
        </w:tc>
        <w:tc>
          <w:tcPr>
            <w:tcW w:w="1137" w:type="dxa"/>
            <w:tcBorders>
              <w:top w:val="nil"/>
              <w:left w:val="nil"/>
              <w:bottom w:val="single" w:sz="8" w:space="0" w:color="auto"/>
              <w:right w:val="single" w:sz="8" w:space="0" w:color="auto"/>
            </w:tcBorders>
            <w:noWrap/>
            <w:vAlign w:val="bottom"/>
          </w:tcPr>
          <w:p w:rsidR="002B619C" w:rsidRPr="008202A0" w:rsidRDefault="002B619C" w:rsidP="002B619C">
            <w:pPr>
              <w:jc w:val="right"/>
              <w:rPr>
                <w:rFonts w:cs="Arial"/>
                <w:color w:val="00B050"/>
                <w:sz w:val="20"/>
                <w:szCs w:val="20"/>
              </w:rPr>
            </w:pPr>
            <w:r>
              <w:rPr>
                <w:rFonts w:cs="Arial"/>
                <w:color w:val="00B050"/>
                <w:sz w:val="20"/>
                <w:szCs w:val="20"/>
              </w:rPr>
              <w:t>1,</w:t>
            </w:r>
            <w:r w:rsidR="00E65F38">
              <w:rPr>
                <w:rFonts w:cs="Arial"/>
                <w:color w:val="00B050"/>
                <w:sz w:val="20"/>
                <w:szCs w:val="20"/>
              </w:rPr>
              <w:t>820.51</w:t>
            </w:r>
          </w:p>
        </w:tc>
        <w:tc>
          <w:tcPr>
            <w:tcW w:w="1275" w:type="dxa"/>
            <w:tcBorders>
              <w:top w:val="nil"/>
              <w:left w:val="nil"/>
              <w:bottom w:val="single" w:sz="8" w:space="0" w:color="auto"/>
              <w:right w:val="single" w:sz="4" w:space="0" w:color="auto"/>
            </w:tcBorders>
            <w:noWrap/>
            <w:vAlign w:val="bottom"/>
          </w:tcPr>
          <w:p w:rsidR="002B619C" w:rsidRPr="008202A0" w:rsidRDefault="00E65F38" w:rsidP="002B619C">
            <w:pPr>
              <w:jc w:val="right"/>
              <w:rPr>
                <w:rFonts w:cs="Arial"/>
                <w:color w:val="00B050"/>
                <w:sz w:val="20"/>
                <w:szCs w:val="20"/>
              </w:rPr>
            </w:pPr>
            <w:r>
              <w:rPr>
                <w:rFonts w:cs="Arial"/>
                <w:color w:val="00B050"/>
                <w:sz w:val="20"/>
                <w:szCs w:val="20"/>
              </w:rPr>
              <w:t>314.83</w:t>
            </w:r>
          </w:p>
        </w:tc>
        <w:tc>
          <w:tcPr>
            <w:tcW w:w="996" w:type="dxa"/>
            <w:tcBorders>
              <w:top w:val="nil"/>
              <w:left w:val="single" w:sz="4" w:space="0" w:color="auto"/>
              <w:bottom w:val="single" w:sz="8" w:space="0" w:color="auto"/>
              <w:right w:val="single" w:sz="4" w:space="0" w:color="auto"/>
            </w:tcBorders>
            <w:vAlign w:val="center"/>
          </w:tcPr>
          <w:p w:rsidR="002B619C" w:rsidRPr="00D17853" w:rsidRDefault="002B619C" w:rsidP="002B619C">
            <w:pPr>
              <w:jc w:val="right"/>
              <w:rPr>
                <w:rFonts w:cs="Arial"/>
                <w:b/>
                <w:color w:val="00B050"/>
                <w:sz w:val="20"/>
                <w:szCs w:val="20"/>
              </w:rPr>
            </w:pPr>
            <w:r>
              <w:rPr>
                <w:rFonts w:cs="Arial"/>
                <w:b/>
                <w:color w:val="00B050"/>
                <w:sz w:val="20"/>
                <w:szCs w:val="20"/>
              </w:rPr>
              <w:t>2,</w:t>
            </w:r>
            <w:r w:rsidR="005F4635">
              <w:rPr>
                <w:rFonts w:cs="Arial"/>
                <w:b/>
                <w:color w:val="00B050"/>
                <w:sz w:val="20"/>
                <w:szCs w:val="20"/>
              </w:rPr>
              <w:t>135.34</w:t>
            </w:r>
          </w:p>
        </w:tc>
        <w:tc>
          <w:tcPr>
            <w:tcW w:w="1125" w:type="dxa"/>
            <w:tcBorders>
              <w:top w:val="nil"/>
              <w:left w:val="single" w:sz="4" w:space="0" w:color="auto"/>
              <w:bottom w:val="single" w:sz="8" w:space="0" w:color="auto"/>
              <w:right w:val="single" w:sz="8" w:space="0" w:color="auto"/>
            </w:tcBorders>
            <w:vAlign w:val="center"/>
          </w:tcPr>
          <w:p w:rsidR="002B619C" w:rsidRDefault="002B619C" w:rsidP="002B619C">
            <w:pPr>
              <w:jc w:val="right"/>
              <w:rPr>
                <w:rFonts w:cs="Arial"/>
                <w:color w:val="000000"/>
                <w:sz w:val="20"/>
                <w:szCs w:val="20"/>
              </w:rPr>
            </w:pPr>
            <w:r>
              <w:rPr>
                <w:rFonts w:cs="Arial"/>
                <w:color w:val="000000"/>
                <w:sz w:val="20"/>
                <w:szCs w:val="20"/>
              </w:rPr>
              <w:t>6</w:t>
            </w:r>
            <w:r w:rsidR="004E3EE7">
              <w:rPr>
                <w:rFonts w:cs="Arial"/>
                <w:color w:val="000000"/>
                <w:sz w:val="20"/>
                <w:szCs w:val="20"/>
              </w:rPr>
              <w:t>80.81</w:t>
            </w:r>
          </w:p>
        </w:tc>
        <w:tc>
          <w:tcPr>
            <w:tcW w:w="1137" w:type="dxa"/>
            <w:tcBorders>
              <w:top w:val="nil"/>
              <w:left w:val="nil"/>
              <w:bottom w:val="single" w:sz="8" w:space="0" w:color="auto"/>
              <w:right w:val="single" w:sz="8" w:space="0" w:color="auto"/>
            </w:tcBorders>
            <w:noWrap/>
            <w:vAlign w:val="center"/>
          </w:tcPr>
          <w:p w:rsidR="002B619C" w:rsidRDefault="004E3EE7" w:rsidP="002B619C">
            <w:pPr>
              <w:jc w:val="right"/>
              <w:rPr>
                <w:rFonts w:cs="Arial"/>
                <w:b/>
                <w:bCs/>
                <w:color w:val="000000"/>
                <w:sz w:val="20"/>
                <w:szCs w:val="20"/>
              </w:rPr>
            </w:pPr>
            <w:r>
              <w:rPr>
                <w:rFonts w:cs="Arial"/>
                <w:b/>
                <w:bCs/>
                <w:color w:val="000000"/>
                <w:sz w:val="20"/>
                <w:szCs w:val="20"/>
              </w:rPr>
              <w:t>2,816.25</w:t>
            </w:r>
          </w:p>
        </w:tc>
        <w:tc>
          <w:tcPr>
            <w:tcW w:w="1137" w:type="dxa"/>
            <w:tcBorders>
              <w:top w:val="nil"/>
              <w:left w:val="nil"/>
              <w:bottom w:val="single" w:sz="8" w:space="0" w:color="auto"/>
              <w:right w:val="single" w:sz="8" w:space="0" w:color="auto"/>
            </w:tcBorders>
            <w:noWrap/>
            <w:vAlign w:val="center"/>
          </w:tcPr>
          <w:p w:rsidR="002B619C" w:rsidRPr="002B619C" w:rsidRDefault="002B619C" w:rsidP="002B619C">
            <w:pPr>
              <w:ind w:left="142"/>
              <w:jc w:val="right"/>
              <w:rPr>
                <w:rFonts w:cs="Arial"/>
                <w:color w:val="000000"/>
                <w:sz w:val="20"/>
                <w:szCs w:val="20"/>
              </w:rPr>
            </w:pPr>
            <w:r w:rsidRPr="002B619C">
              <w:rPr>
                <w:rFonts w:cs="Arial"/>
                <w:color w:val="000000"/>
                <w:sz w:val="20"/>
                <w:szCs w:val="20"/>
              </w:rPr>
              <w:t>2,660.94</w:t>
            </w:r>
          </w:p>
        </w:tc>
      </w:tr>
      <w:tr w:rsidR="005F4635" w:rsidRPr="00EE1ED5" w:rsidTr="004F3828">
        <w:trPr>
          <w:trHeight w:val="270"/>
        </w:trPr>
        <w:tc>
          <w:tcPr>
            <w:tcW w:w="1114" w:type="dxa"/>
            <w:tcBorders>
              <w:top w:val="nil"/>
              <w:left w:val="single" w:sz="8" w:space="0" w:color="auto"/>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G</w:t>
            </w:r>
          </w:p>
        </w:tc>
        <w:tc>
          <w:tcPr>
            <w:tcW w:w="2288" w:type="dxa"/>
            <w:tcBorders>
              <w:top w:val="nil"/>
              <w:left w:val="nil"/>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£160,001 to £320,000</w:t>
            </w:r>
          </w:p>
        </w:tc>
        <w:tc>
          <w:tcPr>
            <w:tcW w:w="1137" w:type="dxa"/>
            <w:tcBorders>
              <w:top w:val="nil"/>
              <w:left w:val="nil"/>
              <w:bottom w:val="single" w:sz="8" w:space="0" w:color="auto"/>
              <w:right w:val="single" w:sz="8" w:space="0" w:color="auto"/>
            </w:tcBorders>
            <w:noWrap/>
            <w:vAlign w:val="bottom"/>
          </w:tcPr>
          <w:p w:rsidR="002B619C" w:rsidRPr="008202A0" w:rsidRDefault="002B619C" w:rsidP="002B619C">
            <w:pPr>
              <w:jc w:val="right"/>
              <w:rPr>
                <w:rFonts w:cs="Arial"/>
                <w:color w:val="00B050"/>
                <w:sz w:val="20"/>
                <w:szCs w:val="20"/>
              </w:rPr>
            </w:pPr>
            <w:r>
              <w:rPr>
                <w:rFonts w:cs="Arial"/>
                <w:color w:val="00B050"/>
                <w:sz w:val="20"/>
                <w:szCs w:val="20"/>
              </w:rPr>
              <w:t>2,</w:t>
            </w:r>
            <w:r w:rsidR="00E65F38">
              <w:rPr>
                <w:rFonts w:cs="Arial"/>
                <w:color w:val="00B050"/>
                <w:sz w:val="20"/>
                <w:szCs w:val="20"/>
              </w:rPr>
              <w:t>100.58</w:t>
            </w:r>
          </w:p>
        </w:tc>
        <w:tc>
          <w:tcPr>
            <w:tcW w:w="1275" w:type="dxa"/>
            <w:tcBorders>
              <w:top w:val="nil"/>
              <w:left w:val="nil"/>
              <w:bottom w:val="single" w:sz="8" w:space="0" w:color="auto"/>
              <w:right w:val="single" w:sz="4" w:space="0" w:color="auto"/>
            </w:tcBorders>
            <w:noWrap/>
            <w:vAlign w:val="bottom"/>
          </w:tcPr>
          <w:p w:rsidR="002B619C" w:rsidRPr="008202A0" w:rsidRDefault="00E65F38" w:rsidP="002B619C">
            <w:pPr>
              <w:jc w:val="right"/>
              <w:rPr>
                <w:rFonts w:cs="Arial"/>
                <w:color w:val="00B050"/>
                <w:sz w:val="20"/>
                <w:szCs w:val="20"/>
              </w:rPr>
            </w:pPr>
            <w:r>
              <w:rPr>
                <w:rFonts w:cs="Arial"/>
                <w:color w:val="00B050"/>
                <w:sz w:val="20"/>
                <w:szCs w:val="20"/>
              </w:rPr>
              <w:t>363.27</w:t>
            </w:r>
          </w:p>
        </w:tc>
        <w:tc>
          <w:tcPr>
            <w:tcW w:w="996" w:type="dxa"/>
            <w:tcBorders>
              <w:top w:val="nil"/>
              <w:left w:val="single" w:sz="4" w:space="0" w:color="auto"/>
              <w:bottom w:val="single" w:sz="8" w:space="0" w:color="auto"/>
              <w:right w:val="single" w:sz="4" w:space="0" w:color="auto"/>
            </w:tcBorders>
            <w:vAlign w:val="center"/>
          </w:tcPr>
          <w:p w:rsidR="002B619C" w:rsidRPr="00D17853" w:rsidRDefault="002B619C" w:rsidP="002B619C">
            <w:pPr>
              <w:jc w:val="right"/>
              <w:rPr>
                <w:rFonts w:cs="Arial"/>
                <w:b/>
                <w:color w:val="00B050"/>
                <w:sz w:val="20"/>
                <w:szCs w:val="20"/>
              </w:rPr>
            </w:pPr>
            <w:r>
              <w:rPr>
                <w:rFonts w:cs="Arial"/>
                <w:b/>
                <w:color w:val="00B050"/>
                <w:sz w:val="20"/>
                <w:szCs w:val="20"/>
              </w:rPr>
              <w:t>2,</w:t>
            </w:r>
            <w:r w:rsidR="005F4635">
              <w:rPr>
                <w:rFonts w:cs="Arial"/>
                <w:b/>
                <w:color w:val="00B050"/>
                <w:sz w:val="20"/>
                <w:szCs w:val="20"/>
              </w:rPr>
              <w:t>463.85</w:t>
            </w:r>
          </w:p>
        </w:tc>
        <w:tc>
          <w:tcPr>
            <w:tcW w:w="1125" w:type="dxa"/>
            <w:tcBorders>
              <w:top w:val="nil"/>
              <w:left w:val="single" w:sz="4" w:space="0" w:color="auto"/>
              <w:bottom w:val="single" w:sz="8" w:space="0" w:color="auto"/>
              <w:right w:val="single" w:sz="8" w:space="0" w:color="auto"/>
            </w:tcBorders>
            <w:vAlign w:val="center"/>
          </w:tcPr>
          <w:p w:rsidR="002B619C" w:rsidRDefault="002B619C" w:rsidP="002B619C">
            <w:pPr>
              <w:jc w:val="right"/>
              <w:rPr>
                <w:rFonts w:cs="Arial"/>
                <w:color w:val="000000"/>
                <w:sz w:val="20"/>
                <w:szCs w:val="20"/>
              </w:rPr>
            </w:pPr>
            <w:r>
              <w:rPr>
                <w:rFonts w:cs="Arial"/>
                <w:color w:val="000000"/>
                <w:sz w:val="20"/>
                <w:szCs w:val="20"/>
              </w:rPr>
              <w:t>7</w:t>
            </w:r>
            <w:r w:rsidR="004E3EE7">
              <w:rPr>
                <w:rFonts w:cs="Arial"/>
                <w:color w:val="000000"/>
                <w:sz w:val="20"/>
                <w:szCs w:val="20"/>
              </w:rPr>
              <w:t>85.67</w:t>
            </w:r>
          </w:p>
        </w:tc>
        <w:tc>
          <w:tcPr>
            <w:tcW w:w="1137" w:type="dxa"/>
            <w:tcBorders>
              <w:top w:val="nil"/>
              <w:left w:val="nil"/>
              <w:bottom w:val="single" w:sz="8" w:space="0" w:color="auto"/>
              <w:right w:val="single" w:sz="8" w:space="0" w:color="auto"/>
            </w:tcBorders>
            <w:noWrap/>
            <w:vAlign w:val="center"/>
          </w:tcPr>
          <w:p w:rsidR="002B619C" w:rsidRDefault="004E3EE7" w:rsidP="002B619C">
            <w:pPr>
              <w:jc w:val="right"/>
              <w:rPr>
                <w:rFonts w:cs="Arial"/>
                <w:b/>
                <w:bCs/>
                <w:color w:val="000000"/>
                <w:sz w:val="20"/>
                <w:szCs w:val="20"/>
              </w:rPr>
            </w:pPr>
            <w:r>
              <w:rPr>
                <w:rFonts w:cs="Arial"/>
                <w:b/>
                <w:bCs/>
                <w:color w:val="000000"/>
                <w:sz w:val="20"/>
                <w:szCs w:val="20"/>
              </w:rPr>
              <w:t>3,249.52</w:t>
            </w:r>
          </w:p>
        </w:tc>
        <w:tc>
          <w:tcPr>
            <w:tcW w:w="1137" w:type="dxa"/>
            <w:tcBorders>
              <w:top w:val="nil"/>
              <w:left w:val="nil"/>
              <w:bottom w:val="single" w:sz="8" w:space="0" w:color="auto"/>
              <w:right w:val="single" w:sz="8" w:space="0" w:color="auto"/>
            </w:tcBorders>
            <w:noWrap/>
            <w:vAlign w:val="center"/>
          </w:tcPr>
          <w:p w:rsidR="002B619C" w:rsidRPr="002B619C" w:rsidRDefault="002B619C" w:rsidP="002B619C">
            <w:pPr>
              <w:ind w:left="142"/>
              <w:jc w:val="right"/>
              <w:rPr>
                <w:rFonts w:cs="Arial"/>
                <w:color w:val="000000"/>
                <w:sz w:val="20"/>
                <w:szCs w:val="20"/>
              </w:rPr>
            </w:pPr>
            <w:r w:rsidRPr="002B619C">
              <w:rPr>
                <w:rFonts w:cs="Arial"/>
                <w:color w:val="000000"/>
                <w:sz w:val="20"/>
                <w:szCs w:val="20"/>
              </w:rPr>
              <w:t>3,070.32</w:t>
            </w:r>
          </w:p>
        </w:tc>
      </w:tr>
      <w:tr w:rsidR="005F4635" w:rsidRPr="00EE1ED5" w:rsidTr="004F3828">
        <w:trPr>
          <w:trHeight w:val="270"/>
        </w:trPr>
        <w:tc>
          <w:tcPr>
            <w:tcW w:w="1114" w:type="dxa"/>
            <w:tcBorders>
              <w:top w:val="nil"/>
              <w:left w:val="single" w:sz="8" w:space="0" w:color="auto"/>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 xml:space="preserve">H </w:t>
            </w:r>
          </w:p>
        </w:tc>
        <w:tc>
          <w:tcPr>
            <w:tcW w:w="2288" w:type="dxa"/>
            <w:tcBorders>
              <w:top w:val="nil"/>
              <w:left w:val="nil"/>
              <w:bottom w:val="single" w:sz="8" w:space="0" w:color="auto"/>
              <w:right w:val="single" w:sz="8" w:space="0" w:color="auto"/>
            </w:tcBorders>
            <w:noWrap/>
            <w:vAlign w:val="center"/>
            <w:hideMark/>
          </w:tcPr>
          <w:p w:rsidR="002B619C" w:rsidRPr="00415358" w:rsidRDefault="002B619C" w:rsidP="002B619C">
            <w:pPr>
              <w:ind w:left="142"/>
              <w:rPr>
                <w:rFonts w:cs="Arial"/>
                <w:color w:val="000000"/>
                <w:sz w:val="20"/>
                <w:szCs w:val="20"/>
              </w:rPr>
            </w:pPr>
            <w:r w:rsidRPr="00415358">
              <w:rPr>
                <w:rFonts w:cs="Arial"/>
                <w:color w:val="000000"/>
                <w:sz w:val="20"/>
                <w:szCs w:val="20"/>
              </w:rPr>
              <w:t>more than £320,00</w:t>
            </w:r>
            <w:r w:rsidRPr="00E37AE6">
              <w:rPr>
                <w:rFonts w:cs="Arial"/>
                <w:color w:val="000000"/>
                <w:sz w:val="20"/>
                <w:szCs w:val="20"/>
              </w:rPr>
              <w:t>0</w:t>
            </w:r>
          </w:p>
        </w:tc>
        <w:tc>
          <w:tcPr>
            <w:tcW w:w="1137" w:type="dxa"/>
            <w:tcBorders>
              <w:top w:val="nil"/>
              <w:left w:val="nil"/>
              <w:bottom w:val="single" w:sz="8" w:space="0" w:color="auto"/>
              <w:right w:val="single" w:sz="8" w:space="0" w:color="auto"/>
            </w:tcBorders>
            <w:noWrap/>
            <w:vAlign w:val="bottom"/>
          </w:tcPr>
          <w:p w:rsidR="002B619C" w:rsidRPr="008202A0" w:rsidRDefault="002B619C" w:rsidP="002B619C">
            <w:pPr>
              <w:jc w:val="right"/>
              <w:rPr>
                <w:rFonts w:cs="Arial"/>
                <w:color w:val="00B050"/>
                <w:sz w:val="20"/>
                <w:szCs w:val="20"/>
              </w:rPr>
            </w:pPr>
            <w:r>
              <w:rPr>
                <w:rFonts w:cs="Arial"/>
                <w:color w:val="00B050"/>
                <w:sz w:val="20"/>
                <w:szCs w:val="20"/>
              </w:rPr>
              <w:t>2,</w:t>
            </w:r>
            <w:r w:rsidR="00E65F38">
              <w:rPr>
                <w:rFonts w:cs="Arial"/>
                <w:color w:val="00B050"/>
                <w:sz w:val="20"/>
                <w:szCs w:val="20"/>
              </w:rPr>
              <w:t>520.70</w:t>
            </w:r>
          </w:p>
        </w:tc>
        <w:tc>
          <w:tcPr>
            <w:tcW w:w="1275" w:type="dxa"/>
            <w:tcBorders>
              <w:top w:val="nil"/>
              <w:left w:val="nil"/>
              <w:bottom w:val="single" w:sz="8" w:space="0" w:color="auto"/>
              <w:right w:val="single" w:sz="4" w:space="0" w:color="auto"/>
            </w:tcBorders>
            <w:noWrap/>
            <w:vAlign w:val="bottom"/>
          </w:tcPr>
          <w:p w:rsidR="002B619C" w:rsidRPr="008202A0" w:rsidRDefault="00E65F38" w:rsidP="002B619C">
            <w:pPr>
              <w:jc w:val="right"/>
              <w:rPr>
                <w:rFonts w:cs="Arial"/>
                <w:color w:val="00B050"/>
                <w:sz w:val="20"/>
                <w:szCs w:val="20"/>
              </w:rPr>
            </w:pPr>
            <w:r>
              <w:rPr>
                <w:rFonts w:cs="Arial"/>
                <w:color w:val="00B050"/>
                <w:sz w:val="20"/>
                <w:szCs w:val="20"/>
              </w:rPr>
              <w:t>435.92</w:t>
            </w:r>
          </w:p>
        </w:tc>
        <w:tc>
          <w:tcPr>
            <w:tcW w:w="996" w:type="dxa"/>
            <w:tcBorders>
              <w:top w:val="nil"/>
              <w:left w:val="single" w:sz="4" w:space="0" w:color="auto"/>
              <w:bottom w:val="single" w:sz="8" w:space="0" w:color="auto"/>
              <w:right w:val="single" w:sz="4" w:space="0" w:color="auto"/>
            </w:tcBorders>
            <w:vAlign w:val="center"/>
          </w:tcPr>
          <w:p w:rsidR="002B619C" w:rsidRPr="00D17853" w:rsidRDefault="002B619C" w:rsidP="002B619C">
            <w:pPr>
              <w:jc w:val="right"/>
              <w:rPr>
                <w:rFonts w:cs="Arial"/>
                <w:b/>
                <w:color w:val="00B050"/>
                <w:sz w:val="20"/>
                <w:szCs w:val="20"/>
              </w:rPr>
            </w:pPr>
            <w:r>
              <w:rPr>
                <w:rFonts w:cs="Arial"/>
                <w:b/>
                <w:color w:val="00B050"/>
                <w:sz w:val="20"/>
                <w:szCs w:val="20"/>
              </w:rPr>
              <w:t>2,</w:t>
            </w:r>
            <w:r w:rsidR="005F4635">
              <w:rPr>
                <w:rFonts w:cs="Arial"/>
                <w:b/>
                <w:color w:val="00B050"/>
                <w:sz w:val="20"/>
                <w:szCs w:val="20"/>
              </w:rPr>
              <w:t>956.62</w:t>
            </w:r>
          </w:p>
        </w:tc>
        <w:tc>
          <w:tcPr>
            <w:tcW w:w="1125" w:type="dxa"/>
            <w:tcBorders>
              <w:top w:val="nil"/>
              <w:left w:val="single" w:sz="4" w:space="0" w:color="auto"/>
              <w:bottom w:val="single" w:sz="8" w:space="0" w:color="auto"/>
              <w:right w:val="single" w:sz="8" w:space="0" w:color="auto"/>
            </w:tcBorders>
            <w:vAlign w:val="center"/>
          </w:tcPr>
          <w:p w:rsidR="002B619C" w:rsidRDefault="004E3EE7" w:rsidP="002B619C">
            <w:pPr>
              <w:jc w:val="right"/>
              <w:rPr>
                <w:rFonts w:cs="Arial"/>
                <w:color w:val="000000"/>
                <w:sz w:val="20"/>
                <w:szCs w:val="20"/>
              </w:rPr>
            </w:pPr>
            <w:r>
              <w:rPr>
                <w:rFonts w:cs="Arial"/>
                <w:color w:val="000000"/>
                <w:sz w:val="20"/>
                <w:szCs w:val="20"/>
              </w:rPr>
              <w:t>942.80</w:t>
            </w:r>
          </w:p>
        </w:tc>
        <w:tc>
          <w:tcPr>
            <w:tcW w:w="1137" w:type="dxa"/>
            <w:tcBorders>
              <w:top w:val="nil"/>
              <w:left w:val="nil"/>
              <w:bottom w:val="single" w:sz="8" w:space="0" w:color="auto"/>
              <w:right w:val="single" w:sz="8" w:space="0" w:color="auto"/>
            </w:tcBorders>
            <w:noWrap/>
            <w:vAlign w:val="center"/>
          </w:tcPr>
          <w:p w:rsidR="002B619C" w:rsidRDefault="004E3EE7" w:rsidP="002B619C">
            <w:pPr>
              <w:jc w:val="right"/>
              <w:rPr>
                <w:rFonts w:cs="Arial"/>
                <w:b/>
                <w:bCs/>
                <w:color w:val="000000"/>
                <w:sz w:val="20"/>
                <w:szCs w:val="20"/>
              </w:rPr>
            </w:pPr>
            <w:r>
              <w:rPr>
                <w:rFonts w:cs="Arial"/>
                <w:b/>
                <w:bCs/>
                <w:color w:val="000000"/>
                <w:sz w:val="20"/>
                <w:szCs w:val="20"/>
              </w:rPr>
              <w:t>3,899.42</w:t>
            </w:r>
          </w:p>
        </w:tc>
        <w:tc>
          <w:tcPr>
            <w:tcW w:w="1137" w:type="dxa"/>
            <w:tcBorders>
              <w:top w:val="nil"/>
              <w:left w:val="nil"/>
              <w:bottom w:val="single" w:sz="8" w:space="0" w:color="auto"/>
              <w:right w:val="single" w:sz="8" w:space="0" w:color="auto"/>
            </w:tcBorders>
            <w:noWrap/>
            <w:vAlign w:val="center"/>
          </w:tcPr>
          <w:p w:rsidR="002B619C" w:rsidRPr="002B619C" w:rsidRDefault="002B619C" w:rsidP="002B619C">
            <w:pPr>
              <w:ind w:left="142"/>
              <w:jc w:val="right"/>
              <w:rPr>
                <w:rFonts w:cs="Arial"/>
                <w:color w:val="000000"/>
                <w:sz w:val="20"/>
                <w:szCs w:val="20"/>
              </w:rPr>
            </w:pPr>
            <w:r w:rsidRPr="002B619C">
              <w:rPr>
                <w:rFonts w:cs="Arial"/>
                <w:color w:val="000000"/>
                <w:sz w:val="20"/>
                <w:szCs w:val="20"/>
              </w:rPr>
              <w:t>3,684.38</w:t>
            </w:r>
          </w:p>
        </w:tc>
      </w:tr>
    </w:tbl>
    <w:p w:rsidR="0079485E" w:rsidRDefault="0079485E" w:rsidP="00D3321E">
      <w:pPr>
        <w:ind w:left="142"/>
      </w:pPr>
    </w:p>
    <w:p w:rsidR="008202A0" w:rsidRPr="00F53B1B" w:rsidRDefault="00F53B1B" w:rsidP="00D3321E">
      <w:pPr>
        <w:ind w:left="142"/>
        <w:rPr>
          <w:sz w:val="20"/>
          <w:szCs w:val="20"/>
        </w:rPr>
      </w:pPr>
      <w:r w:rsidRPr="00F53B1B">
        <w:rPr>
          <w:rFonts w:cs="Arial"/>
          <w:sz w:val="20"/>
          <w:szCs w:val="20"/>
        </w:rPr>
        <w:t>Adult Social Care (ASC) precept increase for 20</w:t>
      </w:r>
      <w:r w:rsidR="00CB5685">
        <w:rPr>
          <w:rFonts w:cs="Arial"/>
          <w:sz w:val="20"/>
          <w:szCs w:val="20"/>
        </w:rPr>
        <w:t>2</w:t>
      </w:r>
      <w:r w:rsidR="00AB36F5">
        <w:rPr>
          <w:rFonts w:cs="Arial"/>
          <w:sz w:val="20"/>
          <w:szCs w:val="20"/>
        </w:rPr>
        <w:t>4</w:t>
      </w:r>
      <w:r w:rsidRPr="00F53B1B">
        <w:rPr>
          <w:rFonts w:cs="Arial"/>
          <w:sz w:val="20"/>
          <w:szCs w:val="20"/>
        </w:rPr>
        <w:t>/</w:t>
      </w:r>
      <w:r w:rsidR="00CB5685">
        <w:rPr>
          <w:rFonts w:cs="Arial"/>
          <w:sz w:val="20"/>
          <w:szCs w:val="20"/>
        </w:rPr>
        <w:t>2</w:t>
      </w:r>
      <w:r w:rsidR="00AB36F5">
        <w:rPr>
          <w:rFonts w:cs="Arial"/>
          <w:sz w:val="20"/>
          <w:szCs w:val="20"/>
        </w:rPr>
        <w:t>5</w:t>
      </w:r>
      <w:r w:rsidRPr="00F53B1B">
        <w:rPr>
          <w:rFonts w:cs="Arial"/>
          <w:sz w:val="20"/>
          <w:szCs w:val="20"/>
        </w:rPr>
        <w:t xml:space="preserve"> is calculated based on </w:t>
      </w:r>
      <w:r w:rsidR="00255A35">
        <w:rPr>
          <w:rFonts w:cs="Arial"/>
          <w:sz w:val="20"/>
          <w:szCs w:val="20"/>
        </w:rPr>
        <w:t>2</w:t>
      </w:r>
      <w:r w:rsidRPr="00F53B1B">
        <w:rPr>
          <w:rFonts w:cs="Arial"/>
          <w:sz w:val="20"/>
          <w:szCs w:val="20"/>
        </w:rPr>
        <w:t xml:space="preserve">% of the combined </w:t>
      </w:r>
      <w:r w:rsidRPr="00E37AE6">
        <w:rPr>
          <w:rFonts w:cs="Arial"/>
          <w:sz w:val="20"/>
          <w:szCs w:val="20"/>
        </w:rPr>
        <w:t>Bromley element</w:t>
      </w:r>
      <w:r w:rsidR="00583787" w:rsidRPr="00E37AE6">
        <w:rPr>
          <w:rFonts w:cs="Arial"/>
          <w:sz w:val="20"/>
          <w:szCs w:val="20"/>
        </w:rPr>
        <w:t xml:space="preserve"> for 20</w:t>
      </w:r>
      <w:r w:rsidR="00EF1A19">
        <w:rPr>
          <w:rFonts w:cs="Arial"/>
          <w:sz w:val="20"/>
          <w:szCs w:val="20"/>
        </w:rPr>
        <w:t>2</w:t>
      </w:r>
      <w:r w:rsidR="00AB36F5">
        <w:rPr>
          <w:rFonts w:cs="Arial"/>
          <w:sz w:val="20"/>
          <w:szCs w:val="20"/>
        </w:rPr>
        <w:t>3</w:t>
      </w:r>
      <w:r w:rsidR="00583787" w:rsidRPr="00E37AE6">
        <w:rPr>
          <w:rFonts w:cs="Arial"/>
          <w:sz w:val="20"/>
          <w:szCs w:val="20"/>
        </w:rPr>
        <w:t>/</w:t>
      </w:r>
      <w:r w:rsidR="00CB5685">
        <w:rPr>
          <w:rFonts w:cs="Arial"/>
          <w:sz w:val="20"/>
          <w:szCs w:val="20"/>
        </w:rPr>
        <w:t>2</w:t>
      </w:r>
      <w:r w:rsidR="00AB36F5">
        <w:rPr>
          <w:rFonts w:cs="Arial"/>
          <w:sz w:val="20"/>
          <w:szCs w:val="20"/>
        </w:rPr>
        <w:t>4</w:t>
      </w:r>
      <w:r w:rsidRPr="00E37AE6">
        <w:rPr>
          <w:rFonts w:cs="Arial"/>
          <w:sz w:val="20"/>
          <w:szCs w:val="20"/>
        </w:rPr>
        <w:t>, plus the ASC sum levied in 20</w:t>
      </w:r>
      <w:r w:rsidR="00EF1A19">
        <w:rPr>
          <w:rFonts w:cs="Arial"/>
          <w:sz w:val="20"/>
          <w:szCs w:val="20"/>
        </w:rPr>
        <w:t>2</w:t>
      </w:r>
      <w:r w:rsidR="00AB36F5">
        <w:rPr>
          <w:rFonts w:cs="Arial"/>
          <w:sz w:val="20"/>
          <w:szCs w:val="20"/>
        </w:rPr>
        <w:t>3</w:t>
      </w:r>
      <w:r w:rsidR="00EF1A19">
        <w:rPr>
          <w:rFonts w:cs="Arial"/>
          <w:sz w:val="20"/>
          <w:szCs w:val="20"/>
        </w:rPr>
        <w:t>/2</w:t>
      </w:r>
      <w:r w:rsidR="00AB36F5">
        <w:rPr>
          <w:rFonts w:cs="Arial"/>
          <w:sz w:val="20"/>
          <w:szCs w:val="20"/>
        </w:rPr>
        <w:t>4</w:t>
      </w:r>
      <w:r w:rsidRPr="00E37AE6">
        <w:rPr>
          <w:rFonts w:cs="Arial"/>
          <w:sz w:val="20"/>
          <w:szCs w:val="20"/>
        </w:rPr>
        <w:t>. (</w:t>
      </w:r>
      <w:r w:rsidR="00255A35" w:rsidRPr="00E37AE6">
        <w:rPr>
          <w:rFonts w:cs="Arial"/>
          <w:sz w:val="20"/>
          <w:szCs w:val="20"/>
        </w:rPr>
        <w:t>e.g.,</w:t>
      </w:r>
      <w:r w:rsidRPr="00E37AE6">
        <w:rPr>
          <w:rFonts w:cs="Arial"/>
          <w:sz w:val="20"/>
          <w:szCs w:val="20"/>
        </w:rPr>
        <w:t xml:space="preserve"> an increase of £</w:t>
      </w:r>
      <w:r w:rsidR="00255A35">
        <w:rPr>
          <w:rFonts w:cs="Arial"/>
          <w:sz w:val="20"/>
          <w:szCs w:val="20"/>
        </w:rPr>
        <w:t>2</w:t>
      </w:r>
      <w:r w:rsidR="00514D56">
        <w:rPr>
          <w:rFonts w:cs="Arial"/>
          <w:sz w:val="20"/>
          <w:szCs w:val="20"/>
        </w:rPr>
        <w:t>8.16</w:t>
      </w:r>
      <w:r w:rsidRPr="00E37AE6">
        <w:rPr>
          <w:rFonts w:cs="Arial"/>
          <w:sz w:val="20"/>
          <w:szCs w:val="20"/>
        </w:rPr>
        <w:t xml:space="preserve"> for a band D property in </w:t>
      </w:r>
      <w:r w:rsidR="00F91EFA" w:rsidRPr="00E37AE6">
        <w:rPr>
          <w:rFonts w:cs="Arial"/>
          <w:sz w:val="20"/>
          <w:szCs w:val="20"/>
        </w:rPr>
        <w:t>20</w:t>
      </w:r>
      <w:r w:rsidR="00CB5685">
        <w:rPr>
          <w:rFonts w:cs="Arial"/>
          <w:sz w:val="20"/>
          <w:szCs w:val="20"/>
        </w:rPr>
        <w:t>2</w:t>
      </w:r>
      <w:r w:rsidR="00DE13D4">
        <w:rPr>
          <w:rFonts w:cs="Arial"/>
          <w:sz w:val="20"/>
          <w:szCs w:val="20"/>
        </w:rPr>
        <w:t>4</w:t>
      </w:r>
      <w:r w:rsidR="00F91EFA" w:rsidRPr="00E37AE6">
        <w:rPr>
          <w:rFonts w:cs="Arial"/>
          <w:sz w:val="20"/>
          <w:szCs w:val="20"/>
        </w:rPr>
        <w:t>/</w:t>
      </w:r>
      <w:r w:rsidR="00CB5685">
        <w:rPr>
          <w:rFonts w:cs="Arial"/>
          <w:sz w:val="20"/>
          <w:szCs w:val="20"/>
        </w:rPr>
        <w:t>2</w:t>
      </w:r>
      <w:r w:rsidR="00DE13D4">
        <w:rPr>
          <w:rFonts w:cs="Arial"/>
          <w:sz w:val="20"/>
          <w:szCs w:val="20"/>
        </w:rPr>
        <w:t>5</w:t>
      </w:r>
      <w:r w:rsidRPr="00E37AE6">
        <w:rPr>
          <w:rFonts w:cs="Arial"/>
          <w:sz w:val="20"/>
          <w:szCs w:val="20"/>
        </w:rPr>
        <w:t>).</w:t>
      </w:r>
    </w:p>
    <w:p w:rsidR="0060621E" w:rsidRDefault="0060621E" w:rsidP="00D3321E">
      <w:pPr>
        <w:ind w:left="142"/>
        <w:rPr>
          <w:sz w:val="20"/>
          <w:szCs w:val="20"/>
        </w:rPr>
      </w:pPr>
    </w:p>
    <w:p w:rsidR="0057496F" w:rsidRPr="0060621E" w:rsidRDefault="00937720" w:rsidP="00D3321E">
      <w:pPr>
        <w:ind w:left="142"/>
      </w:pPr>
      <w:r>
        <w:t>After allowing for the increase in the Bromley element of the</w:t>
      </w:r>
      <w:r w:rsidR="00583787">
        <w:t xml:space="preserve"> C</w:t>
      </w:r>
      <w:r>
        <w:t xml:space="preserve">ouncil </w:t>
      </w:r>
      <w:r w:rsidR="00255A35">
        <w:t>T</w:t>
      </w:r>
      <w:r>
        <w:t xml:space="preserve">ax and the GLA precept the overall increase in </w:t>
      </w:r>
      <w:r w:rsidR="00255A35">
        <w:t>C</w:t>
      </w:r>
      <w:r>
        <w:t xml:space="preserve">ouncil </w:t>
      </w:r>
      <w:r w:rsidR="00255A35">
        <w:t>T</w:t>
      </w:r>
      <w:r>
        <w:t>ax is</w:t>
      </w:r>
      <w:r w:rsidR="00CB5685">
        <w:t xml:space="preserve"> </w:t>
      </w:r>
      <w:r w:rsidR="005F4635">
        <w:t>5.84</w:t>
      </w:r>
      <w:r>
        <w:t xml:space="preserve">% on last year. </w:t>
      </w:r>
      <w:r w:rsidR="0057496F">
        <w:t xml:space="preserve"> </w:t>
      </w:r>
    </w:p>
    <w:p w:rsidR="00034C15" w:rsidRPr="006D556C" w:rsidRDefault="00034C15" w:rsidP="00D3321E">
      <w:pPr>
        <w:pStyle w:val="Heading1"/>
        <w:ind w:left="142"/>
        <w:rPr>
          <w:sz w:val="28"/>
        </w:rPr>
      </w:pPr>
      <w:bookmarkStart w:id="1" w:name="_Toc444695161"/>
      <w:r w:rsidRPr="006D556C">
        <w:rPr>
          <w:sz w:val="28"/>
        </w:rPr>
        <w:t>Valuation Office:</w:t>
      </w:r>
      <w:bookmarkEnd w:id="1"/>
    </w:p>
    <w:p w:rsidR="00034C15" w:rsidRPr="006D556C" w:rsidRDefault="00034C15" w:rsidP="00D3321E">
      <w:pPr>
        <w:ind w:left="142"/>
        <w:rPr>
          <w:sz w:val="28"/>
          <w:szCs w:val="28"/>
        </w:rPr>
      </w:pPr>
    </w:p>
    <w:p w:rsidR="00034C15" w:rsidRDefault="00034C15" w:rsidP="00355CBC">
      <w:pPr>
        <w:ind w:left="142"/>
      </w:pPr>
      <w:r>
        <w:t xml:space="preserve">Council tax valuation bands are based on market value at </w:t>
      </w:r>
      <w:r w:rsidR="00DE13D4">
        <w:t xml:space="preserve">the </w:t>
      </w:r>
      <w:r>
        <w:t xml:space="preserve">1 April 1991 and are set by the Valuation Office Agency (VOA), which is independent from the Council.  </w:t>
      </w:r>
    </w:p>
    <w:p w:rsidR="00034C15" w:rsidRDefault="00034C15" w:rsidP="00355CBC">
      <w:pPr>
        <w:ind w:left="142"/>
      </w:pPr>
    </w:p>
    <w:p w:rsidR="00034C15" w:rsidRDefault="00034C15" w:rsidP="00355CBC">
      <w:pPr>
        <w:ind w:left="142"/>
      </w:pPr>
      <w:r>
        <w:t xml:space="preserve">Should you wish to appeal your banding, you do not need a representative to appeal on your behalf.  You can do this free of charge by </w:t>
      </w:r>
      <w:r w:rsidR="0095118B">
        <w:t>contacting</w:t>
      </w:r>
      <w:r>
        <w:t xml:space="preserve"> the Valuation Officer</w:t>
      </w:r>
      <w:r w:rsidR="0095118B">
        <w:t xml:space="preserve"> on telephone number </w:t>
      </w:r>
      <w:r>
        <w:t xml:space="preserve">03000 501 501 </w:t>
      </w:r>
      <w:r w:rsidR="00F51404">
        <w:t>o</w:t>
      </w:r>
      <w:r>
        <w:t xml:space="preserve">r go to the VOA website for more information </w:t>
      </w:r>
      <w:hyperlink r:id="rId10" w:history="1">
        <w:r w:rsidRPr="005C212B">
          <w:rPr>
            <w:rStyle w:val="Hyperlink"/>
          </w:rPr>
          <w:t>www.voa.gov.uk</w:t>
        </w:r>
      </w:hyperlink>
      <w:r>
        <w:t xml:space="preserve"> </w:t>
      </w:r>
    </w:p>
    <w:p w:rsidR="001253D0" w:rsidRPr="006D556C" w:rsidRDefault="00034C15" w:rsidP="006D556C">
      <w:pPr>
        <w:pStyle w:val="Heading1"/>
        <w:ind w:left="142"/>
        <w:rPr>
          <w:sz w:val="28"/>
        </w:rPr>
      </w:pPr>
      <w:bookmarkStart w:id="2" w:name="_Toc444695162"/>
      <w:r w:rsidRPr="00BD2300">
        <w:rPr>
          <w:sz w:val="28"/>
        </w:rPr>
        <w:lastRenderedPageBreak/>
        <w:t xml:space="preserve">How </w:t>
      </w:r>
      <w:r w:rsidR="00102CF5" w:rsidRPr="00BD2300">
        <w:rPr>
          <w:sz w:val="28"/>
        </w:rPr>
        <w:t>is</w:t>
      </w:r>
      <w:r w:rsidR="00F677AF" w:rsidRPr="00BD2300">
        <w:rPr>
          <w:sz w:val="28"/>
        </w:rPr>
        <w:t xml:space="preserve"> </w:t>
      </w:r>
      <w:r w:rsidR="00A21878" w:rsidRPr="00BD2300">
        <w:rPr>
          <w:sz w:val="28"/>
        </w:rPr>
        <w:t xml:space="preserve">Council Tax </w:t>
      </w:r>
      <w:r w:rsidR="009570BE" w:rsidRPr="00BD2300">
        <w:rPr>
          <w:sz w:val="28"/>
        </w:rPr>
        <w:t>calculate</w:t>
      </w:r>
      <w:r w:rsidR="00A21878" w:rsidRPr="00BD2300">
        <w:rPr>
          <w:sz w:val="28"/>
        </w:rPr>
        <w:t>d:</w:t>
      </w:r>
      <w:r w:rsidRPr="00BD2300">
        <w:rPr>
          <w:sz w:val="28"/>
        </w:rPr>
        <w:t xml:space="preserve"> </w:t>
      </w:r>
      <w:bookmarkEnd w:id="2"/>
      <w:r w:rsidR="00F677AF" w:rsidRPr="006D556C">
        <w:rPr>
          <w:sz w:val="28"/>
        </w:rPr>
        <w:t xml:space="preserve">   </w:t>
      </w:r>
    </w:p>
    <w:p w:rsidR="009570BE" w:rsidRDefault="009570BE" w:rsidP="00662D72"/>
    <w:tbl>
      <w:tblPr>
        <w:tblW w:w="11115" w:type="dxa"/>
        <w:tblInd w:w="108" w:type="dxa"/>
        <w:tblLook w:val="04A0" w:firstRow="1" w:lastRow="0" w:firstColumn="1" w:lastColumn="0" w:noHBand="0" w:noVBand="1"/>
      </w:tblPr>
      <w:tblGrid>
        <w:gridCol w:w="1350"/>
        <w:gridCol w:w="6805"/>
        <w:gridCol w:w="1693"/>
        <w:gridCol w:w="1267"/>
      </w:tblGrid>
      <w:tr w:rsidR="00A45037" w:rsidRPr="00A45037" w:rsidTr="00A45037">
        <w:trPr>
          <w:trHeight w:val="141"/>
        </w:trPr>
        <w:tc>
          <w:tcPr>
            <w:tcW w:w="1350"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c>
          <w:tcPr>
            <w:tcW w:w="6805" w:type="dxa"/>
            <w:tcBorders>
              <w:top w:val="nil"/>
              <w:left w:val="nil"/>
              <w:bottom w:val="nil"/>
              <w:right w:val="nil"/>
            </w:tcBorders>
            <w:shd w:val="clear" w:color="auto" w:fill="auto"/>
            <w:noWrap/>
            <w:vAlign w:val="bottom"/>
            <w:hideMark/>
          </w:tcPr>
          <w:p w:rsidR="00A45037" w:rsidRPr="00A45037" w:rsidRDefault="00A45037" w:rsidP="00A45037">
            <w:pPr>
              <w:rPr>
                <w:rFonts w:cs="Arial"/>
                <w:b/>
                <w:bCs/>
                <w:sz w:val="20"/>
                <w:szCs w:val="20"/>
              </w:rPr>
            </w:pPr>
            <w:r w:rsidRPr="00A45037">
              <w:rPr>
                <w:rFonts w:cs="Arial"/>
                <w:b/>
                <w:bCs/>
                <w:sz w:val="20"/>
                <w:szCs w:val="20"/>
              </w:rPr>
              <w:t>SUMMARY OF DRAFT 2024/25 REVENUE BUDGET - PORTFOLIO</w:t>
            </w:r>
          </w:p>
        </w:tc>
        <w:tc>
          <w:tcPr>
            <w:tcW w:w="1693" w:type="dxa"/>
            <w:tcBorders>
              <w:top w:val="nil"/>
              <w:left w:val="nil"/>
              <w:bottom w:val="nil"/>
              <w:right w:val="nil"/>
            </w:tcBorders>
            <w:shd w:val="clear" w:color="auto" w:fill="auto"/>
            <w:noWrap/>
            <w:vAlign w:val="bottom"/>
            <w:hideMark/>
          </w:tcPr>
          <w:p w:rsidR="00A45037" w:rsidRPr="00A45037" w:rsidRDefault="00A45037" w:rsidP="00A45037">
            <w:pPr>
              <w:rPr>
                <w:rFonts w:cs="Arial"/>
                <w:b/>
                <w:bCs/>
                <w:sz w:val="20"/>
                <w:szCs w:val="20"/>
              </w:rPr>
            </w:pPr>
          </w:p>
        </w:tc>
        <w:tc>
          <w:tcPr>
            <w:tcW w:w="1267"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r>
      <w:tr w:rsidR="00A45037" w:rsidRPr="00A45037" w:rsidTr="00A45037">
        <w:trPr>
          <w:trHeight w:val="141"/>
        </w:trPr>
        <w:tc>
          <w:tcPr>
            <w:tcW w:w="1350"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c>
          <w:tcPr>
            <w:tcW w:w="6805"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c>
          <w:tcPr>
            <w:tcW w:w="1693"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c>
          <w:tcPr>
            <w:tcW w:w="1267"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r>
      <w:tr w:rsidR="00A45037" w:rsidRPr="00A45037" w:rsidTr="00A45037">
        <w:trPr>
          <w:trHeight w:val="141"/>
        </w:trPr>
        <w:tc>
          <w:tcPr>
            <w:tcW w:w="1350"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c>
          <w:tcPr>
            <w:tcW w:w="6805"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c>
          <w:tcPr>
            <w:tcW w:w="1693"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c>
          <w:tcPr>
            <w:tcW w:w="1267" w:type="dxa"/>
            <w:tcBorders>
              <w:top w:val="nil"/>
              <w:left w:val="nil"/>
              <w:bottom w:val="nil"/>
              <w:right w:val="nil"/>
            </w:tcBorders>
            <w:shd w:val="clear" w:color="auto" w:fill="auto"/>
            <w:noWrap/>
            <w:vAlign w:val="bottom"/>
            <w:hideMark/>
          </w:tcPr>
          <w:p w:rsidR="00A45037" w:rsidRPr="00A45037" w:rsidRDefault="00A45037" w:rsidP="00A45037">
            <w:pPr>
              <w:rPr>
                <w:rFonts w:ascii="Times New Roman" w:hAnsi="Times New Roman"/>
                <w:sz w:val="20"/>
                <w:szCs w:val="20"/>
              </w:rPr>
            </w:pPr>
          </w:p>
        </w:tc>
      </w:tr>
      <w:tr w:rsidR="00A45037" w:rsidRPr="00A45037" w:rsidTr="00A45037">
        <w:trPr>
          <w:trHeight w:val="141"/>
        </w:trPr>
        <w:tc>
          <w:tcPr>
            <w:tcW w:w="1350" w:type="dxa"/>
            <w:tcBorders>
              <w:top w:val="single" w:sz="4" w:space="0" w:color="auto"/>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2023/24</w:t>
            </w:r>
          </w:p>
        </w:tc>
        <w:tc>
          <w:tcPr>
            <w:tcW w:w="6805" w:type="dxa"/>
            <w:tcBorders>
              <w:top w:val="single" w:sz="4" w:space="0" w:color="auto"/>
              <w:left w:val="nil"/>
              <w:bottom w:val="nil"/>
              <w:right w:val="single" w:sz="4" w:space="0" w:color="auto"/>
            </w:tcBorders>
            <w:shd w:val="clear" w:color="auto" w:fill="auto"/>
            <w:noWrap/>
            <w:vAlign w:val="bottom"/>
            <w:hideMark/>
          </w:tcPr>
          <w:p w:rsidR="00A45037" w:rsidRPr="00A45037" w:rsidRDefault="00A45037" w:rsidP="00A45037">
            <w:pPr>
              <w:rPr>
                <w:rFonts w:cs="Arial"/>
                <w:b/>
                <w:bCs/>
                <w:sz w:val="20"/>
                <w:szCs w:val="20"/>
              </w:rPr>
            </w:pPr>
            <w:r w:rsidRPr="00A45037">
              <w:rPr>
                <w:rFonts w:cs="Arial"/>
                <w:b/>
                <w:bCs/>
                <w:sz w:val="20"/>
                <w:szCs w:val="20"/>
              </w:rPr>
              <w:t xml:space="preserve">Portfolio/Item </w:t>
            </w:r>
          </w:p>
        </w:tc>
        <w:tc>
          <w:tcPr>
            <w:tcW w:w="1693" w:type="dxa"/>
            <w:tcBorders>
              <w:top w:val="single" w:sz="4" w:space="0" w:color="auto"/>
              <w:left w:val="nil"/>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2024/25</w:t>
            </w:r>
          </w:p>
        </w:tc>
        <w:tc>
          <w:tcPr>
            <w:tcW w:w="1267" w:type="dxa"/>
            <w:tcBorders>
              <w:top w:val="single" w:sz="4" w:space="0" w:color="auto"/>
              <w:left w:val="nil"/>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2024/25</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Final</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b/>
                <w:bCs/>
                <w:sz w:val="20"/>
                <w:szCs w:val="20"/>
              </w:rPr>
            </w:pPr>
            <w:r w:rsidRPr="00A45037">
              <w:rPr>
                <w:rFonts w:cs="Arial"/>
                <w:b/>
                <w:bCs/>
                <w:sz w:val="20"/>
                <w:szCs w:val="20"/>
              </w:rPr>
              <w:t>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Draft</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 xml:space="preserve">Band "D" </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Budget</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b/>
                <w:bCs/>
                <w:sz w:val="20"/>
                <w:szCs w:val="20"/>
              </w:rPr>
            </w:pPr>
            <w:r w:rsidRPr="00A45037">
              <w:rPr>
                <w:rFonts w:cs="Arial"/>
                <w:b/>
                <w:bCs/>
                <w:sz w:val="20"/>
                <w:szCs w:val="20"/>
              </w:rPr>
              <w:t>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Budget</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Equivalent</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£'000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106,353</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Education</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129,344</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955.98</w:t>
            </w:r>
          </w:p>
        </w:tc>
      </w:tr>
      <w:tr w:rsidR="00A45037" w:rsidRPr="00A45037" w:rsidTr="00A45037">
        <w:trPr>
          <w:trHeight w:val="141"/>
        </w:trPr>
        <w:tc>
          <w:tcPr>
            <w:tcW w:w="1350" w:type="dxa"/>
            <w:tcBorders>
              <w:top w:val="nil"/>
              <w:left w:val="single" w:sz="4" w:space="0" w:color="auto"/>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98,674</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Less costs funded through Dedicated Schools Grant *</w:t>
            </w:r>
          </w:p>
        </w:tc>
        <w:tc>
          <w:tcPr>
            <w:tcW w:w="1693" w:type="dxa"/>
            <w:tcBorders>
              <w:top w:val="nil"/>
              <w:left w:val="nil"/>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116,453</w:t>
            </w:r>
          </w:p>
        </w:tc>
        <w:tc>
          <w:tcPr>
            <w:tcW w:w="1267" w:type="dxa"/>
            <w:tcBorders>
              <w:top w:val="nil"/>
              <w:left w:val="nil"/>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-860.70</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7,679</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b/>
                <w:bCs/>
                <w:sz w:val="20"/>
                <w:szCs w:val="20"/>
              </w:rPr>
            </w:pPr>
            <w:r w:rsidRPr="00A45037">
              <w:rPr>
                <w:rFonts w:cs="Arial"/>
                <w:b/>
                <w:bCs/>
                <w:sz w:val="20"/>
                <w:szCs w:val="20"/>
              </w:rPr>
              <w:t xml:space="preserve">Sub total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12,891</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95.27</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47,574</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Childrens Social Care</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53,774</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397.44</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84,178</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Adult Care and Health</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90,777</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670.93</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38,033</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Environment &amp; Community Services Portfolio</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40,631</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300.30</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3,228</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Public Protection and Enforcement</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3,357</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24.81</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15,611</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Renewal, Recreation and Housing</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16,866</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124.66</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46,649</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Resources, Commissioning &amp; Contracts Management</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45,436</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335.82</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1,361</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Non Distributed Costs &amp; Corporate &amp; Democratic Core</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1,417</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10.47</w:t>
            </w:r>
          </w:p>
        </w:tc>
      </w:tr>
      <w:tr w:rsidR="00A45037" w:rsidRPr="00A45037" w:rsidTr="00A45037">
        <w:trPr>
          <w:trHeight w:val="141"/>
        </w:trPr>
        <w:tc>
          <w:tcPr>
            <w:tcW w:w="135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244,313</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b/>
                <w:bCs/>
                <w:sz w:val="20"/>
                <w:szCs w:val="20"/>
              </w:rPr>
            </w:pPr>
            <w:r w:rsidRPr="00A45037">
              <w:rPr>
                <w:rFonts w:cs="Arial"/>
                <w:b/>
                <w:bCs/>
                <w:sz w:val="20"/>
                <w:szCs w:val="20"/>
              </w:rPr>
              <w:t>Total Controllable Budgets</w:t>
            </w:r>
          </w:p>
        </w:tc>
        <w:tc>
          <w:tcPr>
            <w:tcW w:w="1693" w:type="dxa"/>
            <w:tcBorders>
              <w:top w:val="single" w:sz="4" w:space="0" w:color="auto"/>
              <w:left w:val="nil"/>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265,149</w:t>
            </w:r>
          </w:p>
        </w:tc>
        <w:tc>
          <w:tcPr>
            <w:tcW w:w="1267" w:type="dxa"/>
            <w:tcBorders>
              <w:top w:val="single" w:sz="4" w:space="0" w:color="auto"/>
              <w:left w:val="nil"/>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1,959.71</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8,666</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xml:space="preserve">Total </w:t>
            </w:r>
            <w:proofErr w:type="spellStart"/>
            <w:r w:rsidRPr="00A45037">
              <w:rPr>
                <w:rFonts w:cs="Arial"/>
                <w:sz w:val="20"/>
                <w:szCs w:val="20"/>
              </w:rPr>
              <w:t>Non Controllable</w:t>
            </w:r>
            <w:proofErr w:type="spellEnd"/>
            <w:r w:rsidRPr="00A45037">
              <w:rPr>
                <w:rFonts w:cs="Arial"/>
                <w:sz w:val="20"/>
                <w:szCs w:val="20"/>
              </w:rPr>
              <w:t xml:space="preserve"> Budgets</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12,247</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90.52</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947</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Total Excluded Recharges</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937</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-6.93</w:t>
            </w:r>
          </w:p>
        </w:tc>
      </w:tr>
      <w:tr w:rsidR="00A45037" w:rsidRPr="00A45037" w:rsidTr="00A45037">
        <w:trPr>
          <w:trHeight w:val="141"/>
        </w:trPr>
        <w:tc>
          <w:tcPr>
            <w:tcW w:w="1350" w:type="dxa"/>
            <w:tcBorders>
              <w:top w:val="single" w:sz="4" w:space="0" w:color="auto"/>
              <w:left w:val="single" w:sz="4" w:space="0" w:color="auto"/>
              <w:bottom w:val="dashed" w:sz="4" w:space="0" w:color="auto"/>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252,032</w:t>
            </w:r>
          </w:p>
        </w:tc>
        <w:tc>
          <w:tcPr>
            <w:tcW w:w="6805" w:type="dxa"/>
            <w:tcBorders>
              <w:top w:val="nil"/>
              <w:left w:val="nil"/>
              <w:bottom w:val="nil"/>
              <w:right w:val="nil"/>
            </w:tcBorders>
            <w:shd w:val="clear" w:color="auto" w:fill="auto"/>
            <w:noWrap/>
            <w:vAlign w:val="bottom"/>
            <w:hideMark/>
          </w:tcPr>
          <w:p w:rsidR="00A45037" w:rsidRPr="00A45037" w:rsidRDefault="00A45037" w:rsidP="00A45037">
            <w:pPr>
              <w:rPr>
                <w:rFonts w:ascii="Calibri" w:hAnsi="Calibri" w:cs="Calibri"/>
                <w:color w:val="000000"/>
                <w:sz w:val="22"/>
                <w:szCs w:val="22"/>
              </w:rPr>
            </w:pPr>
          </w:p>
          <w:tbl>
            <w:tblPr>
              <w:tblW w:w="6574" w:type="dxa"/>
              <w:tblCellSpacing w:w="0" w:type="dxa"/>
              <w:tblCellMar>
                <w:left w:w="0" w:type="dxa"/>
                <w:right w:w="0" w:type="dxa"/>
              </w:tblCellMar>
              <w:tblLook w:val="04A0" w:firstRow="1" w:lastRow="0" w:firstColumn="1" w:lastColumn="0" w:noHBand="0" w:noVBand="1"/>
            </w:tblPr>
            <w:tblGrid>
              <w:gridCol w:w="6584"/>
            </w:tblGrid>
            <w:tr w:rsidR="00A45037" w:rsidRPr="00A45037" w:rsidTr="00A45037">
              <w:trPr>
                <w:trHeight w:val="141"/>
                <w:tblCellSpacing w:w="0" w:type="dxa"/>
              </w:trPr>
              <w:tc>
                <w:tcPr>
                  <w:tcW w:w="6574"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b/>
                      <w:bCs/>
                      <w:sz w:val="20"/>
                      <w:szCs w:val="20"/>
                    </w:rPr>
                  </w:pPr>
                  <w:r w:rsidRPr="00A45037">
                    <w:rPr>
                      <w:rFonts w:cs="Arial"/>
                      <w:b/>
                      <w:bCs/>
                      <w:sz w:val="20"/>
                      <w:szCs w:val="20"/>
                    </w:rPr>
                    <w:t>Portfolio Total</w:t>
                  </w:r>
                </w:p>
              </w:tc>
            </w:tr>
          </w:tbl>
          <w:p w:rsidR="00A45037" w:rsidRPr="00A45037" w:rsidRDefault="00A45037" w:rsidP="00A45037">
            <w:pPr>
              <w:rPr>
                <w:rFonts w:ascii="Calibri" w:hAnsi="Calibri" w:cs="Calibri"/>
                <w:color w:val="000000"/>
                <w:sz w:val="22"/>
                <w:szCs w:val="22"/>
              </w:rPr>
            </w:pPr>
          </w:p>
        </w:tc>
        <w:tc>
          <w:tcPr>
            <w:tcW w:w="1693" w:type="dxa"/>
            <w:tcBorders>
              <w:top w:val="single" w:sz="4" w:space="0" w:color="auto"/>
              <w:left w:val="nil"/>
              <w:bottom w:val="dashed" w:sz="4" w:space="0" w:color="auto"/>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276,459</w:t>
            </w:r>
          </w:p>
        </w:tc>
        <w:tc>
          <w:tcPr>
            <w:tcW w:w="1267" w:type="dxa"/>
            <w:tcBorders>
              <w:top w:val="single" w:sz="4" w:space="0" w:color="auto"/>
              <w:left w:val="nil"/>
              <w:bottom w:val="dashed" w:sz="4" w:space="0" w:color="auto"/>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2,043.30</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14,710</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Reversal of Net Capital Charges</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10,184</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-75.27</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9,841</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Interest on General Fund Balances</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12,041</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-88.99</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xml:space="preserve">                  9 </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xml:space="preserve">Contribution to Utilisation of New Homes Bonus for Housing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20,031</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Central Contingency Sum</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9,830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72.65</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6,600</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Contingency Provision for Revenue Impact of Capital Programme Financing and Loss of Investment Income from Disposals</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2,000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14.78</w:t>
            </w:r>
          </w:p>
        </w:tc>
      </w:tr>
      <w:tr w:rsidR="00A45037" w:rsidRPr="00A45037" w:rsidTr="00A45037">
        <w:trPr>
          <w:trHeight w:val="284"/>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6805" w:type="dxa"/>
            <w:tcBorders>
              <w:top w:val="nil"/>
              <w:left w:val="nil"/>
              <w:bottom w:val="nil"/>
              <w:right w:val="single" w:sz="4" w:space="0" w:color="auto"/>
            </w:tcBorders>
            <w:shd w:val="clear" w:color="auto" w:fill="auto"/>
            <w:vAlign w:val="bottom"/>
            <w:hideMark/>
          </w:tcPr>
          <w:p w:rsidR="00A45037" w:rsidRPr="00A45037" w:rsidRDefault="00A45037" w:rsidP="00A45037">
            <w:pPr>
              <w:rPr>
                <w:rFonts w:cs="Arial"/>
                <w:sz w:val="20"/>
                <w:szCs w:val="20"/>
              </w:rPr>
            </w:pPr>
            <w:r w:rsidRPr="00A45037">
              <w:rPr>
                <w:rFonts w:cs="Arial"/>
                <w:sz w:val="20"/>
                <w:szCs w:val="20"/>
              </w:rPr>
              <w:t>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Levies</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r>
      <w:tr w:rsidR="00A45037" w:rsidRPr="00A45037" w:rsidTr="00A45037">
        <w:trPr>
          <w:trHeight w:val="134"/>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448</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xml:space="preserve"> - London Pensions Fund Authority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447</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3.30</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246</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xml:space="preserve"> - London Boroughs Grants Committee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248</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1.83</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266</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xml:space="preserve"> - Environment Agency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270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2.00</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341</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xml:space="preserve"> - Lee Valley Regional Park *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350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2.59</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r>
      <w:tr w:rsidR="00A45037" w:rsidRPr="00A45037" w:rsidTr="00A45037">
        <w:trPr>
          <w:trHeight w:val="141"/>
        </w:trPr>
        <w:tc>
          <w:tcPr>
            <w:tcW w:w="135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b/>
                <w:bCs/>
                <w:sz w:val="20"/>
                <w:szCs w:val="20"/>
              </w:rPr>
              <w:t>255,422</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b/>
                <w:bCs/>
                <w:sz w:val="20"/>
                <w:szCs w:val="20"/>
              </w:rPr>
              <w:t>Sub Total</w:t>
            </w:r>
          </w:p>
        </w:tc>
        <w:tc>
          <w:tcPr>
            <w:tcW w:w="1693" w:type="dxa"/>
            <w:tcBorders>
              <w:top w:val="single" w:sz="4" w:space="0" w:color="auto"/>
              <w:left w:val="nil"/>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b/>
                <w:bCs/>
                <w:sz w:val="20"/>
                <w:szCs w:val="20"/>
              </w:rPr>
              <w:t>267,379</w:t>
            </w:r>
          </w:p>
        </w:tc>
        <w:tc>
          <w:tcPr>
            <w:tcW w:w="1267" w:type="dxa"/>
            <w:tcBorders>
              <w:top w:val="single" w:sz="4" w:space="0" w:color="auto"/>
              <w:left w:val="nil"/>
              <w:bottom w:val="dotted"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b/>
                <w:bCs/>
                <w:sz w:val="20"/>
                <w:szCs w:val="20"/>
              </w:rPr>
              <w:t>1,976.19</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9</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New Homes Bonus</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409</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-3.02</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47,000</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Business Rate Retention</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50,205</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-371.06</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1,556</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Services Grant</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269</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-1.99</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5,400</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Collection Fund Surplus (previous years)</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Collection Fund Surplus (estimated 2022/23)</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2,500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-18.48</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9,111</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Use of estimated 2023/24 Collection Fund Surplus (b/</w:t>
            </w:r>
            <w:proofErr w:type="spellStart"/>
            <w:r w:rsidRPr="00A45037">
              <w:rPr>
                <w:rFonts w:cs="Arial"/>
                <w:sz w:val="20"/>
                <w:szCs w:val="20"/>
              </w:rPr>
              <w:t>fwd</w:t>
            </w:r>
            <w:proofErr w:type="spellEnd"/>
            <w:r w:rsidRPr="00A45037">
              <w:rPr>
                <w:rFonts w:cs="Arial"/>
                <w:sz w:val="20"/>
                <w:szCs w:val="20"/>
              </w:rPr>
              <w:t xml:space="preserve">) </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3,400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-25.13</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Contribution from Collection Fund Surplus Earmarked Reserve</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10,000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-73.91</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2,300</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Collection fund surplus for future years (council tax support)</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 </w:t>
            </w:r>
          </w:p>
        </w:tc>
      </w:tr>
      <w:tr w:rsidR="00A45037" w:rsidRPr="00A45037" w:rsidTr="00A45037">
        <w:trPr>
          <w:trHeight w:val="141"/>
        </w:trPr>
        <w:tc>
          <w:tcPr>
            <w:tcW w:w="1350" w:type="dxa"/>
            <w:tcBorders>
              <w:top w:val="nil"/>
              <w:left w:val="single" w:sz="4" w:space="0" w:color="auto"/>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870</w:t>
            </w:r>
          </w:p>
        </w:tc>
        <w:tc>
          <w:tcPr>
            <w:tcW w:w="6805" w:type="dxa"/>
            <w:tcBorders>
              <w:top w:val="nil"/>
              <w:left w:val="nil"/>
              <w:bottom w:val="nil"/>
              <w:right w:val="single" w:sz="4" w:space="0" w:color="auto"/>
            </w:tcBorders>
            <w:shd w:val="clear" w:color="auto" w:fill="auto"/>
            <w:noWrap/>
            <w:vAlign w:val="bottom"/>
            <w:hideMark/>
          </w:tcPr>
          <w:p w:rsidR="00A45037" w:rsidRPr="00A45037" w:rsidRDefault="00A45037" w:rsidP="00A45037">
            <w:pPr>
              <w:rPr>
                <w:rFonts w:cs="Arial"/>
                <w:sz w:val="20"/>
                <w:szCs w:val="20"/>
              </w:rPr>
            </w:pPr>
            <w:r w:rsidRPr="00A45037">
              <w:rPr>
                <w:rFonts w:cs="Arial"/>
                <w:sz w:val="20"/>
                <w:szCs w:val="20"/>
              </w:rPr>
              <w:t>Use of Specific Earmarked reserve created during 2022-23 to fund additional social work post</w:t>
            </w:r>
          </w:p>
        </w:tc>
        <w:tc>
          <w:tcPr>
            <w:tcW w:w="1693"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Cr               580</w:t>
            </w:r>
          </w:p>
        </w:tc>
        <w:tc>
          <w:tcPr>
            <w:tcW w:w="1267" w:type="dxa"/>
            <w:tcBorders>
              <w:top w:val="nil"/>
              <w:left w:val="nil"/>
              <w:bottom w:val="nil"/>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sz w:val="20"/>
                <w:szCs w:val="20"/>
              </w:rPr>
              <w:t>-4.29</w:t>
            </w:r>
          </w:p>
        </w:tc>
      </w:tr>
      <w:tr w:rsidR="00A45037" w:rsidRPr="00A45037" w:rsidTr="00A45037">
        <w:trPr>
          <w:trHeight w:val="284"/>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b/>
                <w:bCs/>
                <w:sz w:val="20"/>
                <w:szCs w:val="20"/>
              </w:rPr>
              <w:t>189,176</w:t>
            </w:r>
          </w:p>
        </w:tc>
        <w:tc>
          <w:tcPr>
            <w:tcW w:w="6805" w:type="dxa"/>
            <w:tcBorders>
              <w:top w:val="single" w:sz="4" w:space="0" w:color="auto"/>
              <w:left w:val="nil"/>
              <w:bottom w:val="single" w:sz="4" w:space="0" w:color="auto"/>
              <w:right w:val="single" w:sz="4" w:space="0" w:color="auto"/>
            </w:tcBorders>
            <w:shd w:val="clear" w:color="auto" w:fill="auto"/>
            <w:vAlign w:val="bottom"/>
            <w:hideMark/>
          </w:tcPr>
          <w:p w:rsidR="00A45037" w:rsidRPr="00A45037" w:rsidRDefault="00A45037" w:rsidP="00A45037">
            <w:pPr>
              <w:rPr>
                <w:rFonts w:cs="Arial"/>
                <w:sz w:val="20"/>
                <w:szCs w:val="20"/>
              </w:rPr>
            </w:pPr>
            <w:r w:rsidRPr="00A45037">
              <w:rPr>
                <w:rFonts w:cs="Arial"/>
                <w:b/>
                <w:bCs/>
                <w:sz w:val="20"/>
                <w:szCs w:val="20"/>
              </w:rPr>
              <w:t xml:space="preserve">Bromley's Requirement (excluding GLA)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b/>
                <w:bCs/>
                <w:sz w:val="20"/>
                <w:szCs w:val="20"/>
              </w:rPr>
              <w:t>200,016</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cs="Arial"/>
                <w:sz w:val="20"/>
                <w:szCs w:val="20"/>
              </w:rPr>
            </w:pPr>
            <w:r w:rsidRPr="00A45037">
              <w:rPr>
                <w:rFonts w:cs="Arial"/>
                <w:b/>
                <w:bCs/>
                <w:sz w:val="20"/>
                <w:szCs w:val="20"/>
              </w:rPr>
              <w:t>1,478.31</w:t>
            </w:r>
          </w:p>
        </w:tc>
      </w:tr>
      <w:tr w:rsidR="00A45037" w:rsidRPr="00A45037" w:rsidTr="00A45037">
        <w:trPr>
          <w:trHeight w:val="136"/>
        </w:trPr>
        <w:tc>
          <w:tcPr>
            <w:tcW w:w="1350" w:type="dxa"/>
            <w:tcBorders>
              <w:top w:val="nil"/>
              <w:left w:val="nil"/>
              <w:bottom w:val="nil"/>
              <w:right w:val="nil"/>
            </w:tcBorders>
            <w:shd w:val="clear" w:color="auto" w:fill="auto"/>
            <w:noWrap/>
            <w:vAlign w:val="bottom"/>
            <w:hideMark/>
          </w:tcPr>
          <w:p w:rsidR="00A45037" w:rsidRPr="00A45037" w:rsidRDefault="00A45037" w:rsidP="00A45037">
            <w:pPr>
              <w:jc w:val="right"/>
              <w:rPr>
                <w:rFonts w:cs="Arial"/>
                <w:b/>
                <w:bCs/>
                <w:sz w:val="20"/>
                <w:szCs w:val="20"/>
              </w:rPr>
            </w:pPr>
          </w:p>
        </w:tc>
        <w:tc>
          <w:tcPr>
            <w:tcW w:w="6805" w:type="dxa"/>
            <w:tcBorders>
              <w:top w:val="nil"/>
              <w:left w:val="nil"/>
              <w:bottom w:val="nil"/>
              <w:right w:val="nil"/>
            </w:tcBorders>
            <w:shd w:val="clear" w:color="auto" w:fill="auto"/>
            <w:noWrap/>
            <w:vAlign w:val="bottom"/>
            <w:hideMark/>
          </w:tcPr>
          <w:p w:rsidR="00A45037" w:rsidRPr="00A45037" w:rsidRDefault="00A45037" w:rsidP="00A45037">
            <w:pPr>
              <w:rPr>
                <w:rFonts w:cs="Arial"/>
                <w:b/>
                <w:bCs/>
                <w:sz w:val="20"/>
                <w:szCs w:val="20"/>
              </w:rPr>
            </w:pPr>
          </w:p>
        </w:tc>
        <w:tc>
          <w:tcPr>
            <w:tcW w:w="1693" w:type="dxa"/>
            <w:tcBorders>
              <w:top w:val="nil"/>
              <w:left w:val="nil"/>
              <w:bottom w:val="nil"/>
              <w:right w:val="nil"/>
            </w:tcBorders>
            <w:shd w:val="clear" w:color="auto" w:fill="auto"/>
            <w:noWrap/>
            <w:vAlign w:val="bottom"/>
            <w:hideMark/>
          </w:tcPr>
          <w:p w:rsidR="00A45037" w:rsidRPr="00A45037" w:rsidRDefault="00A45037" w:rsidP="00A45037">
            <w:pPr>
              <w:jc w:val="right"/>
              <w:rPr>
                <w:rFonts w:cs="Arial"/>
                <w:b/>
                <w:bCs/>
                <w:sz w:val="20"/>
                <w:szCs w:val="20"/>
              </w:rPr>
            </w:pPr>
          </w:p>
        </w:tc>
        <w:tc>
          <w:tcPr>
            <w:tcW w:w="1267" w:type="dxa"/>
            <w:tcBorders>
              <w:top w:val="nil"/>
              <w:left w:val="nil"/>
              <w:bottom w:val="nil"/>
              <w:right w:val="nil"/>
            </w:tcBorders>
            <w:shd w:val="clear" w:color="auto" w:fill="auto"/>
            <w:noWrap/>
            <w:vAlign w:val="bottom"/>
            <w:hideMark/>
          </w:tcPr>
          <w:p w:rsidR="00A45037" w:rsidRPr="00A45037" w:rsidRDefault="00A45037" w:rsidP="00A45037">
            <w:pPr>
              <w:jc w:val="right"/>
              <w:rPr>
                <w:rFonts w:cs="Arial"/>
                <w:b/>
                <w:bCs/>
                <w:sz w:val="20"/>
                <w:szCs w:val="20"/>
              </w:rPr>
            </w:pPr>
          </w:p>
        </w:tc>
      </w:tr>
      <w:tr w:rsidR="00A45037" w:rsidRPr="00A45037" w:rsidTr="00A45037">
        <w:trPr>
          <w:trHeight w:val="136"/>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58,215</w:t>
            </w:r>
          </w:p>
        </w:tc>
        <w:tc>
          <w:tcPr>
            <w:tcW w:w="6805" w:type="dxa"/>
            <w:tcBorders>
              <w:top w:val="single" w:sz="4" w:space="0" w:color="auto"/>
              <w:left w:val="nil"/>
              <w:bottom w:val="single" w:sz="4" w:space="0" w:color="auto"/>
              <w:right w:val="single" w:sz="4" w:space="0" w:color="auto"/>
            </w:tcBorders>
            <w:shd w:val="clear" w:color="auto" w:fill="auto"/>
            <w:noWrap/>
            <w:vAlign w:val="bottom"/>
            <w:hideMark/>
          </w:tcPr>
          <w:p w:rsidR="00A45037" w:rsidRPr="00A45037" w:rsidRDefault="00A45037" w:rsidP="00A45037">
            <w:pPr>
              <w:rPr>
                <w:rFonts w:ascii="Times New Roman" w:hAnsi="Times New Roman"/>
                <w:sz w:val="20"/>
                <w:szCs w:val="20"/>
              </w:rPr>
            </w:pPr>
            <w:r w:rsidRPr="00A45037">
              <w:rPr>
                <w:rFonts w:cs="Arial"/>
                <w:b/>
                <w:bCs/>
                <w:sz w:val="20"/>
                <w:szCs w:val="20"/>
              </w:rPr>
              <w:t>Greater London Authority Precept</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ascii="Times New Roman" w:hAnsi="Times New Roman"/>
                <w:sz w:val="20"/>
                <w:szCs w:val="20"/>
              </w:rPr>
            </w:pPr>
            <w:r w:rsidRPr="00A45037">
              <w:rPr>
                <w:rFonts w:cs="Arial"/>
                <w:b/>
                <w:bCs/>
                <w:sz w:val="20"/>
                <w:szCs w:val="20"/>
              </w:rPr>
              <w:t>63,780</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ascii="Times New Roman" w:hAnsi="Times New Roman"/>
                <w:sz w:val="20"/>
                <w:szCs w:val="20"/>
              </w:rPr>
            </w:pPr>
            <w:r w:rsidRPr="00A45037">
              <w:rPr>
                <w:rFonts w:cs="Arial"/>
                <w:b/>
                <w:bCs/>
                <w:sz w:val="20"/>
                <w:szCs w:val="20"/>
              </w:rPr>
              <w:t>471.40</w:t>
            </w:r>
          </w:p>
        </w:tc>
      </w:tr>
      <w:tr w:rsidR="00A45037" w:rsidRPr="00A45037" w:rsidTr="00A45037">
        <w:trPr>
          <w:trHeight w:val="141"/>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cs="Arial"/>
                <w:b/>
                <w:bCs/>
                <w:sz w:val="20"/>
                <w:szCs w:val="20"/>
              </w:rPr>
            </w:pPr>
            <w:r w:rsidRPr="00A45037">
              <w:rPr>
                <w:rFonts w:cs="Arial"/>
                <w:b/>
                <w:bCs/>
                <w:sz w:val="20"/>
                <w:szCs w:val="20"/>
              </w:rPr>
              <w:t>247,391</w:t>
            </w:r>
          </w:p>
        </w:tc>
        <w:tc>
          <w:tcPr>
            <w:tcW w:w="6805" w:type="dxa"/>
            <w:tcBorders>
              <w:top w:val="single" w:sz="4" w:space="0" w:color="auto"/>
              <w:left w:val="nil"/>
              <w:bottom w:val="single" w:sz="4" w:space="0" w:color="auto"/>
              <w:right w:val="single" w:sz="4" w:space="0" w:color="auto"/>
            </w:tcBorders>
            <w:shd w:val="clear" w:color="auto" w:fill="auto"/>
            <w:noWrap/>
            <w:vAlign w:val="bottom"/>
            <w:hideMark/>
          </w:tcPr>
          <w:p w:rsidR="00A45037" w:rsidRPr="00A45037" w:rsidRDefault="00A45037" w:rsidP="00A45037">
            <w:pPr>
              <w:rPr>
                <w:rFonts w:ascii="Times New Roman" w:hAnsi="Times New Roman"/>
                <w:sz w:val="20"/>
                <w:szCs w:val="20"/>
              </w:rPr>
            </w:pPr>
            <w:r w:rsidRPr="00A45037">
              <w:rPr>
                <w:rFonts w:cs="Arial"/>
                <w:b/>
                <w:bCs/>
                <w:sz w:val="20"/>
                <w:szCs w:val="20"/>
              </w:rPr>
              <w:t>Total Council Tax Requirement</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ascii="Times New Roman" w:hAnsi="Times New Roman"/>
                <w:sz w:val="20"/>
                <w:szCs w:val="20"/>
              </w:rPr>
            </w:pPr>
            <w:r w:rsidRPr="00A45037">
              <w:rPr>
                <w:rFonts w:cs="Arial"/>
                <w:b/>
                <w:bCs/>
                <w:sz w:val="20"/>
                <w:szCs w:val="20"/>
              </w:rPr>
              <w:t>263,796</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A45037" w:rsidRPr="00A45037" w:rsidRDefault="00A45037" w:rsidP="00A45037">
            <w:pPr>
              <w:jc w:val="right"/>
              <w:rPr>
                <w:rFonts w:ascii="Times New Roman" w:hAnsi="Times New Roman"/>
                <w:sz w:val="20"/>
                <w:szCs w:val="20"/>
              </w:rPr>
            </w:pPr>
            <w:r w:rsidRPr="00A45037">
              <w:rPr>
                <w:rFonts w:cs="Arial"/>
                <w:b/>
                <w:bCs/>
                <w:sz w:val="20"/>
                <w:szCs w:val="20"/>
              </w:rPr>
              <w:t>1,949.71</w:t>
            </w:r>
          </w:p>
        </w:tc>
      </w:tr>
    </w:tbl>
    <w:p w:rsidR="001F1836" w:rsidRDefault="001F1836" w:rsidP="00662D72"/>
    <w:p w:rsidR="009570BE" w:rsidRDefault="00034C15" w:rsidP="00F677AF">
      <w:pPr>
        <w:ind w:left="142"/>
      </w:pPr>
      <w:r>
        <w:rPr>
          <w:rFonts w:cs="Arial"/>
          <w:sz w:val="16"/>
          <w:szCs w:val="16"/>
        </w:rPr>
        <w:t>*</w:t>
      </w:r>
      <w:r w:rsidRPr="00717FD4">
        <w:rPr>
          <w:rFonts w:cs="Arial"/>
          <w:sz w:val="16"/>
          <w:szCs w:val="16"/>
        </w:rPr>
        <w:t xml:space="preserve"> </w:t>
      </w:r>
    </w:p>
    <w:p w:rsidR="00034C15" w:rsidRPr="00A221D6" w:rsidRDefault="00A0337E" w:rsidP="00885DF3">
      <w:pPr>
        <w:pStyle w:val="Heading1"/>
        <w:spacing w:before="100" w:beforeAutospacing="1"/>
        <w:ind w:left="142"/>
        <w:rPr>
          <w:sz w:val="28"/>
        </w:rPr>
      </w:pPr>
      <w:bookmarkStart w:id="3" w:name="_Toc444695163"/>
      <w:r w:rsidRPr="00A221D6">
        <w:rPr>
          <w:sz w:val="28"/>
        </w:rPr>
        <w:t xml:space="preserve">How the Council </w:t>
      </w:r>
      <w:r w:rsidR="00102CF5" w:rsidRPr="00A221D6">
        <w:rPr>
          <w:sz w:val="28"/>
        </w:rPr>
        <w:t>s</w:t>
      </w:r>
      <w:r w:rsidRPr="00A221D6">
        <w:rPr>
          <w:sz w:val="28"/>
        </w:rPr>
        <w:t>ervices are funded</w:t>
      </w:r>
      <w:bookmarkEnd w:id="3"/>
    </w:p>
    <w:p w:rsidR="00034C15" w:rsidRPr="00A221D6" w:rsidRDefault="00034C15" w:rsidP="00D3321E">
      <w:pPr>
        <w:ind w:left="142"/>
        <w:rPr>
          <w:rFonts w:cs="Arial"/>
          <w:sz w:val="20"/>
          <w:szCs w:val="20"/>
        </w:rPr>
      </w:pPr>
    </w:p>
    <w:p w:rsidR="00034C15" w:rsidRPr="00A221D6" w:rsidRDefault="00034C15" w:rsidP="00D3321E">
      <w:pPr>
        <w:ind w:left="142"/>
        <w:rPr>
          <w:rFonts w:cs="Arial"/>
        </w:rPr>
      </w:pPr>
      <w:r w:rsidRPr="00A221D6">
        <w:rPr>
          <w:rFonts w:cs="Arial"/>
        </w:rPr>
        <w:t xml:space="preserve">The following table outlines </w:t>
      </w:r>
      <w:r w:rsidR="00F677AF" w:rsidRPr="00A221D6">
        <w:rPr>
          <w:rFonts w:cs="Arial"/>
        </w:rPr>
        <w:t>how the Council services are funded for 202</w:t>
      </w:r>
      <w:r w:rsidR="004F3D75">
        <w:rPr>
          <w:rFonts w:cs="Arial"/>
        </w:rPr>
        <w:t>4</w:t>
      </w:r>
      <w:r w:rsidR="00F677AF" w:rsidRPr="00A221D6">
        <w:rPr>
          <w:rFonts w:cs="Arial"/>
        </w:rPr>
        <w:t>/2</w:t>
      </w:r>
      <w:r w:rsidR="004F3D75">
        <w:rPr>
          <w:rFonts w:cs="Arial"/>
        </w:rPr>
        <w:t>5</w:t>
      </w:r>
      <w:r w:rsidR="00F677AF" w:rsidRPr="00A221D6">
        <w:rPr>
          <w:rFonts w:cs="Arial"/>
        </w:rPr>
        <w:t xml:space="preserve">: </w:t>
      </w:r>
    </w:p>
    <w:p w:rsidR="00F677AF" w:rsidRDefault="00F677AF" w:rsidP="00D3321E">
      <w:pPr>
        <w:ind w:left="142"/>
        <w:rPr>
          <w:highlight w:val="yellow"/>
        </w:rPr>
      </w:pPr>
    </w:p>
    <w:tbl>
      <w:tblPr>
        <w:tblW w:w="8000" w:type="dxa"/>
        <w:tblInd w:w="113" w:type="dxa"/>
        <w:tblLook w:val="04A0" w:firstRow="1" w:lastRow="0" w:firstColumn="1" w:lastColumn="0" w:noHBand="0" w:noVBand="1"/>
      </w:tblPr>
      <w:tblGrid>
        <w:gridCol w:w="5720"/>
        <w:gridCol w:w="1320"/>
        <w:gridCol w:w="960"/>
      </w:tblGrid>
      <w:tr w:rsidR="004F3D75" w:rsidRPr="004F3D75" w:rsidTr="004F3D75">
        <w:trPr>
          <w:trHeight w:val="540"/>
        </w:trPr>
        <w:tc>
          <w:tcPr>
            <w:tcW w:w="5720" w:type="dxa"/>
            <w:tcBorders>
              <w:top w:val="single" w:sz="4" w:space="0" w:color="auto"/>
              <w:left w:val="single" w:sz="4" w:space="0" w:color="auto"/>
              <w:bottom w:val="nil"/>
              <w:right w:val="nil"/>
            </w:tcBorders>
            <w:shd w:val="clear" w:color="000000" w:fill="DBDBDB"/>
            <w:vAlign w:val="bottom"/>
            <w:hideMark/>
          </w:tcPr>
          <w:p w:rsidR="004F3D75" w:rsidRPr="004F3D75" w:rsidRDefault="004F3D75" w:rsidP="004F3D75">
            <w:pPr>
              <w:rPr>
                <w:rFonts w:cs="Arial"/>
                <w:b/>
                <w:bCs/>
                <w:color w:val="000000"/>
                <w:sz w:val="20"/>
                <w:szCs w:val="20"/>
              </w:rPr>
            </w:pPr>
            <w:r w:rsidRPr="004F3D75">
              <w:rPr>
                <w:rFonts w:cs="Arial"/>
                <w:b/>
                <w:bCs/>
                <w:color w:val="000000"/>
                <w:sz w:val="20"/>
                <w:szCs w:val="20"/>
              </w:rPr>
              <w:t xml:space="preserve">Funding of the Council's Services 2024/25 </w:t>
            </w:r>
            <w:r w:rsidRPr="004F3D75">
              <w:rPr>
                <w:rFonts w:cs="Arial"/>
                <w:b/>
                <w:bCs/>
                <w:color w:val="000000"/>
                <w:sz w:val="20"/>
                <w:szCs w:val="20"/>
              </w:rPr>
              <w:br/>
              <w:t>(Draft Budget)</w:t>
            </w:r>
          </w:p>
        </w:tc>
        <w:tc>
          <w:tcPr>
            <w:tcW w:w="1320" w:type="dxa"/>
            <w:tcBorders>
              <w:top w:val="single" w:sz="4" w:space="0" w:color="auto"/>
              <w:left w:val="nil"/>
              <w:bottom w:val="nil"/>
              <w:right w:val="nil"/>
            </w:tcBorders>
            <w:shd w:val="clear" w:color="000000" w:fill="DBDBDB"/>
            <w:noWrap/>
            <w:vAlign w:val="bottom"/>
            <w:hideMark/>
          </w:tcPr>
          <w:p w:rsidR="004F3D75" w:rsidRPr="004F3D75" w:rsidRDefault="004F3D75" w:rsidP="004F3D75">
            <w:pPr>
              <w:rPr>
                <w:rFonts w:cs="Arial"/>
                <w:b/>
                <w:bCs/>
                <w:color w:val="000000"/>
                <w:sz w:val="20"/>
                <w:szCs w:val="20"/>
              </w:rPr>
            </w:pPr>
            <w:r w:rsidRPr="004F3D75">
              <w:rPr>
                <w:rFonts w:cs="Arial"/>
                <w:b/>
                <w:bCs/>
                <w:color w:val="000000"/>
                <w:sz w:val="20"/>
                <w:szCs w:val="20"/>
              </w:rPr>
              <w:t>2024/25</w:t>
            </w:r>
          </w:p>
        </w:tc>
        <w:tc>
          <w:tcPr>
            <w:tcW w:w="960" w:type="dxa"/>
            <w:tcBorders>
              <w:top w:val="single" w:sz="4" w:space="0" w:color="auto"/>
              <w:left w:val="nil"/>
              <w:bottom w:val="nil"/>
              <w:right w:val="single" w:sz="4" w:space="0" w:color="auto"/>
            </w:tcBorders>
            <w:shd w:val="clear" w:color="000000" w:fill="DBDBDB"/>
            <w:noWrap/>
            <w:vAlign w:val="bottom"/>
            <w:hideMark/>
          </w:tcPr>
          <w:p w:rsidR="004F3D75" w:rsidRPr="004F3D75" w:rsidRDefault="004F3D75" w:rsidP="004F3D75">
            <w:pPr>
              <w:rPr>
                <w:rFonts w:ascii="Calibri" w:hAnsi="Calibri" w:cs="Calibri"/>
                <w:color w:val="000000"/>
                <w:sz w:val="22"/>
                <w:szCs w:val="22"/>
              </w:rPr>
            </w:pPr>
            <w:r w:rsidRPr="004F3D75">
              <w:rPr>
                <w:rFonts w:ascii="Calibri" w:hAnsi="Calibri" w:cs="Calibri"/>
                <w:color w:val="000000"/>
                <w:sz w:val="22"/>
                <w:szCs w:val="22"/>
              </w:rPr>
              <w:t> </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Other - Fees and Charges etc</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119.5</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18.0%</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Dedicated Schools Grant</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116.5</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17.6%</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Council Tax</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200.0</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30.2%</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Business Rates Retention</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50.2</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7.6%</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Specific Grants</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176.9</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26.7%</w:t>
            </w:r>
          </w:p>
        </w:tc>
      </w:tr>
      <w:tr w:rsidR="004F3D75" w:rsidRPr="004F3D75" w:rsidTr="004F3D75">
        <w:trPr>
          <w:trHeight w:val="288"/>
        </w:trPr>
        <w:tc>
          <w:tcPr>
            <w:tcW w:w="5720" w:type="dxa"/>
            <w:tcBorders>
              <w:top w:val="nil"/>
              <w:left w:val="single" w:sz="4" w:space="0" w:color="auto"/>
              <w:bottom w:val="single" w:sz="4" w:space="0" w:color="auto"/>
              <w:right w:val="nil"/>
            </w:tcBorders>
            <w:shd w:val="clear" w:color="000000" w:fill="DBDBDB"/>
            <w:noWrap/>
            <w:vAlign w:val="bottom"/>
            <w:hideMark/>
          </w:tcPr>
          <w:p w:rsidR="004F3D75" w:rsidRPr="004F3D75" w:rsidRDefault="004F3D75" w:rsidP="004F3D75">
            <w:pPr>
              <w:rPr>
                <w:rFonts w:cs="Arial"/>
                <w:b/>
                <w:bCs/>
                <w:color w:val="000000"/>
                <w:sz w:val="20"/>
                <w:szCs w:val="20"/>
              </w:rPr>
            </w:pPr>
            <w:r w:rsidRPr="004F3D75">
              <w:rPr>
                <w:rFonts w:cs="Arial"/>
                <w:b/>
                <w:bCs/>
                <w:color w:val="000000"/>
                <w:sz w:val="20"/>
                <w:szCs w:val="20"/>
              </w:rPr>
              <w:t>Total</w:t>
            </w:r>
          </w:p>
        </w:tc>
        <w:tc>
          <w:tcPr>
            <w:tcW w:w="1320" w:type="dxa"/>
            <w:tcBorders>
              <w:top w:val="nil"/>
              <w:left w:val="nil"/>
              <w:bottom w:val="single" w:sz="4" w:space="0" w:color="auto"/>
              <w:right w:val="nil"/>
            </w:tcBorders>
            <w:shd w:val="clear" w:color="000000" w:fill="DBDBDB"/>
            <w:noWrap/>
            <w:vAlign w:val="bottom"/>
            <w:hideMark/>
          </w:tcPr>
          <w:p w:rsidR="004F3D75" w:rsidRPr="004F3D75" w:rsidRDefault="004F3D75" w:rsidP="004F3D75">
            <w:pPr>
              <w:jc w:val="right"/>
              <w:rPr>
                <w:rFonts w:cs="Arial"/>
                <w:b/>
                <w:bCs/>
                <w:color w:val="000000"/>
                <w:sz w:val="20"/>
                <w:szCs w:val="20"/>
              </w:rPr>
            </w:pPr>
            <w:r w:rsidRPr="004F3D75">
              <w:rPr>
                <w:rFonts w:cs="Arial"/>
                <w:b/>
                <w:bCs/>
                <w:color w:val="000000"/>
                <w:sz w:val="20"/>
                <w:szCs w:val="20"/>
              </w:rPr>
              <w:t>663.1</w:t>
            </w:r>
          </w:p>
        </w:tc>
        <w:tc>
          <w:tcPr>
            <w:tcW w:w="960" w:type="dxa"/>
            <w:tcBorders>
              <w:top w:val="nil"/>
              <w:left w:val="nil"/>
              <w:bottom w:val="single" w:sz="4" w:space="0" w:color="auto"/>
              <w:right w:val="single" w:sz="4" w:space="0" w:color="auto"/>
            </w:tcBorders>
            <w:shd w:val="clear" w:color="000000" w:fill="DBDBDB"/>
            <w:noWrap/>
            <w:vAlign w:val="bottom"/>
            <w:hideMark/>
          </w:tcPr>
          <w:p w:rsidR="004F3D75" w:rsidRPr="004F3D75" w:rsidRDefault="004F3D75" w:rsidP="004F3D75">
            <w:pPr>
              <w:jc w:val="right"/>
              <w:rPr>
                <w:rFonts w:ascii="Calibri" w:hAnsi="Calibri" w:cs="Calibri"/>
                <w:color w:val="000000"/>
                <w:sz w:val="22"/>
                <w:szCs w:val="22"/>
              </w:rPr>
            </w:pPr>
            <w:r w:rsidRPr="004F3D75">
              <w:rPr>
                <w:rFonts w:ascii="Calibri" w:hAnsi="Calibri" w:cs="Calibri"/>
                <w:color w:val="000000"/>
                <w:sz w:val="22"/>
                <w:szCs w:val="22"/>
              </w:rPr>
              <w:t>100.0%</w:t>
            </w:r>
          </w:p>
        </w:tc>
      </w:tr>
      <w:tr w:rsidR="004F3D75" w:rsidRPr="004F3D75" w:rsidTr="004F3D75">
        <w:trPr>
          <w:trHeight w:val="288"/>
        </w:trPr>
        <w:tc>
          <w:tcPr>
            <w:tcW w:w="5720" w:type="dxa"/>
            <w:tcBorders>
              <w:top w:val="nil"/>
              <w:left w:val="nil"/>
              <w:bottom w:val="nil"/>
              <w:right w:val="nil"/>
            </w:tcBorders>
            <w:shd w:val="clear" w:color="auto" w:fill="auto"/>
            <w:noWrap/>
            <w:vAlign w:val="bottom"/>
            <w:hideMark/>
          </w:tcPr>
          <w:p w:rsidR="004F3D75" w:rsidRPr="004F3D75" w:rsidRDefault="004F3D75" w:rsidP="004F3D75">
            <w:pPr>
              <w:jc w:val="right"/>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4F3D75" w:rsidRPr="004F3D75" w:rsidRDefault="004F3D75" w:rsidP="004F3D75">
            <w:pPr>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4F3D75" w:rsidRPr="004F3D75" w:rsidRDefault="004F3D75" w:rsidP="004F3D75">
            <w:pPr>
              <w:rPr>
                <w:rFonts w:ascii="Times New Roman" w:hAnsi="Times New Roman"/>
                <w:sz w:val="20"/>
                <w:szCs w:val="20"/>
              </w:rPr>
            </w:pPr>
          </w:p>
        </w:tc>
      </w:tr>
      <w:tr w:rsidR="004F3D75" w:rsidRPr="004F3D75" w:rsidTr="004F3D75">
        <w:trPr>
          <w:trHeight w:val="288"/>
        </w:trPr>
        <w:tc>
          <w:tcPr>
            <w:tcW w:w="5720" w:type="dxa"/>
            <w:tcBorders>
              <w:top w:val="nil"/>
              <w:left w:val="nil"/>
              <w:bottom w:val="nil"/>
              <w:right w:val="nil"/>
            </w:tcBorders>
            <w:shd w:val="clear" w:color="auto" w:fill="auto"/>
            <w:noWrap/>
            <w:vAlign w:val="bottom"/>
            <w:hideMark/>
          </w:tcPr>
          <w:p w:rsidR="004F3D75" w:rsidRPr="004F3D75" w:rsidRDefault="004F3D75" w:rsidP="004F3D75">
            <w:pPr>
              <w:rPr>
                <w:rFonts w:ascii="Times New Roman" w:hAnsi="Times New Roman"/>
                <w:sz w:val="20"/>
                <w:szCs w:val="20"/>
              </w:rPr>
            </w:pPr>
          </w:p>
        </w:tc>
        <w:tc>
          <w:tcPr>
            <w:tcW w:w="1320" w:type="dxa"/>
            <w:tcBorders>
              <w:top w:val="nil"/>
              <w:left w:val="nil"/>
              <w:bottom w:val="nil"/>
              <w:right w:val="nil"/>
            </w:tcBorders>
            <w:shd w:val="clear" w:color="auto" w:fill="auto"/>
            <w:noWrap/>
            <w:vAlign w:val="bottom"/>
            <w:hideMark/>
          </w:tcPr>
          <w:p w:rsidR="004F3D75" w:rsidRPr="004F3D75" w:rsidRDefault="004F3D75" w:rsidP="004F3D75">
            <w:pPr>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4F3D75" w:rsidRPr="004F3D75" w:rsidRDefault="004F3D75" w:rsidP="004F3D75">
            <w:pPr>
              <w:rPr>
                <w:rFonts w:ascii="Times New Roman" w:hAnsi="Times New Roman"/>
                <w:sz w:val="20"/>
                <w:szCs w:val="20"/>
              </w:rPr>
            </w:pPr>
          </w:p>
        </w:tc>
      </w:tr>
      <w:tr w:rsidR="004F3D75" w:rsidRPr="004F3D75" w:rsidTr="004F3D75">
        <w:trPr>
          <w:trHeight w:val="288"/>
        </w:trPr>
        <w:tc>
          <w:tcPr>
            <w:tcW w:w="5720" w:type="dxa"/>
            <w:tcBorders>
              <w:top w:val="single" w:sz="4" w:space="0" w:color="auto"/>
              <w:left w:val="single" w:sz="4" w:space="0" w:color="auto"/>
              <w:bottom w:val="nil"/>
              <w:right w:val="nil"/>
            </w:tcBorders>
            <w:shd w:val="clear" w:color="000000" w:fill="DBDBDB"/>
            <w:noWrap/>
            <w:vAlign w:val="bottom"/>
            <w:hideMark/>
          </w:tcPr>
          <w:p w:rsidR="004F3D75" w:rsidRPr="004F3D75" w:rsidRDefault="004F3D75" w:rsidP="004F3D75">
            <w:pPr>
              <w:rPr>
                <w:rFonts w:cs="Arial"/>
                <w:b/>
                <w:bCs/>
                <w:color w:val="000000"/>
                <w:sz w:val="20"/>
                <w:szCs w:val="20"/>
              </w:rPr>
            </w:pPr>
            <w:r w:rsidRPr="004F3D75">
              <w:rPr>
                <w:rFonts w:cs="Arial"/>
                <w:b/>
                <w:bCs/>
                <w:color w:val="000000"/>
                <w:sz w:val="20"/>
                <w:szCs w:val="20"/>
              </w:rPr>
              <w:t>Where the Money Goes (Draft Budget)</w:t>
            </w:r>
          </w:p>
        </w:tc>
        <w:tc>
          <w:tcPr>
            <w:tcW w:w="1320" w:type="dxa"/>
            <w:tcBorders>
              <w:top w:val="single" w:sz="4" w:space="0" w:color="auto"/>
              <w:left w:val="nil"/>
              <w:bottom w:val="nil"/>
              <w:right w:val="nil"/>
            </w:tcBorders>
            <w:shd w:val="clear" w:color="000000" w:fill="DBDBDB"/>
            <w:noWrap/>
            <w:vAlign w:val="bottom"/>
            <w:hideMark/>
          </w:tcPr>
          <w:p w:rsidR="004F3D75" w:rsidRPr="004F3D75" w:rsidRDefault="004F3D75" w:rsidP="004F3D75">
            <w:pPr>
              <w:rPr>
                <w:rFonts w:cs="Arial"/>
                <w:b/>
                <w:bCs/>
                <w:color w:val="000000"/>
                <w:sz w:val="20"/>
                <w:szCs w:val="20"/>
              </w:rPr>
            </w:pPr>
            <w:r w:rsidRPr="004F3D75">
              <w:rPr>
                <w:rFonts w:cs="Arial"/>
                <w:b/>
                <w:bCs/>
                <w:color w:val="000000"/>
                <w:sz w:val="20"/>
                <w:szCs w:val="20"/>
              </w:rPr>
              <w:t>2024/25</w:t>
            </w:r>
          </w:p>
        </w:tc>
        <w:tc>
          <w:tcPr>
            <w:tcW w:w="960" w:type="dxa"/>
            <w:tcBorders>
              <w:top w:val="single" w:sz="4" w:space="0" w:color="auto"/>
              <w:left w:val="nil"/>
              <w:bottom w:val="nil"/>
              <w:right w:val="single" w:sz="4" w:space="0" w:color="auto"/>
            </w:tcBorders>
            <w:shd w:val="clear" w:color="000000" w:fill="DBDBDB"/>
            <w:noWrap/>
            <w:vAlign w:val="bottom"/>
            <w:hideMark/>
          </w:tcPr>
          <w:p w:rsidR="004F3D75" w:rsidRPr="004F3D75" w:rsidRDefault="004F3D75" w:rsidP="004F3D75">
            <w:pPr>
              <w:rPr>
                <w:rFonts w:ascii="Calibri" w:hAnsi="Calibri" w:cs="Calibri"/>
                <w:color w:val="000000"/>
                <w:sz w:val="22"/>
                <w:szCs w:val="22"/>
              </w:rPr>
            </w:pPr>
            <w:r w:rsidRPr="004F3D75">
              <w:rPr>
                <w:rFonts w:ascii="Calibri" w:hAnsi="Calibri" w:cs="Calibri"/>
                <w:color w:val="000000"/>
                <w:sz w:val="22"/>
                <w:szCs w:val="22"/>
              </w:rPr>
              <w:t> </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Chief Executive</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55.4</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8.4%</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Delegated Schools Budget</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28.4</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4.3%</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Place Dept</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196.9</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29.7%</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People Dept</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369.3</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55.7%</w:t>
            </w:r>
          </w:p>
        </w:tc>
      </w:tr>
      <w:tr w:rsidR="004F3D75" w:rsidRPr="004F3D75" w:rsidTr="004F3D75">
        <w:trPr>
          <w:trHeight w:val="288"/>
        </w:trPr>
        <w:tc>
          <w:tcPr>
            <w:tcW w:w="5720" w:type="dxa"/>
            <w:tcBorders>
              <w:top w:val="nil"/>
              <w:left w:val="single" w:sz="4" w:space="0" w:color="auto"/>
              <w:bottom w:val="nil"/>
              <w:right w:val="nil"/>
            </w:tcBorders>
            <w:shd w:val="clear" w:color="000000" w:fill="DBDBDB"/>
            <w:noWrap/>
            <w:vAlign w:val="bottom"/>
            <w:hideMark/>
          </w:tcPr>
          <w:p w:rsidR="004F3D75" w:rsidRPr="004F3D75" w:rsidRDefault="004F3D75" w:rsidP="004F3D75">
            <w:pPr>
              <w:rPr>
                <w:rFonts w:cs="Arial"/>
                <w:color w:val="000000"/>
                <w:sz w:val="20"/>
                <w:szCs w:val="20"/>
              </w:rPr>
            </w:pPr>
            <w:r w:rsidRPr="004F3D75">
              <w:rPr>
                <w:rFonts w:cs="Arial"/>
                <w:color w:val="000000"/>
                <w:sz w:val="20"/>
                <w:szCs w:val="20"/>
              </w:rPr>
              <w:t>Other (Including Levies)</w:t>
            </w:r>
          </w:p>
        </w:tc>
        <w:tc>
          <w:tcPr>
            <w:tcW w:w="1320" w:type="dxa"/>
            <w:tcBorders>
              <w:top w:val="nil"/>
              <w:left w:val="nil"/>
              <w:bottom w:val="nil"/>
              <w:right w:val="nil"/>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13.1</w:t>
            </w:r>
          </w:p>
        </w:tc>
        <w:tc>
          <w:tcPr>
            <w:tcW w:w="960" w:type="dxa"/>
            <w:tcBorders>
              <w:top w:val="nil"/>
              <w:left w:val="nil"/>
              <w:bottom w:val="nil"/>
              <w:right w:val="single" w:sz="4" w:space="0" w:color="auto"/>
            </w:tcBorders>
            <w:shd w:val="clear" w:color="000000" w:fill="DBDBDB"/>
            <w:noWrap/>
            <w:vAlign w:val="bottom"/>
            <w:hideMark/>
          </w:tcPr>
          <w:p w:rsidR="004F3D75" w:rsidRPr="004F3D75" w:rsidRDefault="004F3D75" w:rsidP="004F3D75">
            <w:pPr>
              <w:jc w:val="right"/>
              <w:rPr>
                <w:rFonts w:cs="Arial"/>
                <w:color w:val="000000"/>
                <w:sz w:val="20"/>
                <w:szCs w:val="20"/>
              </w:rPr>
            </w:pPr>
            <w:r w:rsidRPr="004F3D75">
              <w:rPr>
                <w:rFonts w:cs="Arial"/>
                <w:color w:val="000000"/>
                <w:sz w:val="20"/>
                <w:szCs w:val="20"/>
              </w:rPr>
              <w:t>2.0%</w:t>
            </w:r>
          </w:p>
        </w:tc>
      </w:tr>
      <w:tr w:rsidR="004F3D75" w:rsidRPr="004F3D75" w:rsidTr="004F3D75">
        <w:trPr>
          <w:trHeight w:val="288"/>
        </w:trPr>
        <w:tc>
          <w:tcPr>
            <w:tcW w:w="5720" w:type="dxa"/>
            <w:tcBorders>
              <w:top w:val="nil"/>
              <w:left w:val="single" w:sz="4" w:space="0" w:color="auto"/>
              <w:bottom w:val="single" w:sz="4" w:space="0" w:color="auto"/>
              <w:right w:val="nil"/>
            </w:tcBorders>
            <w:shd w:val="clear" w:color="000000" w:fill="DBDBDB"/>
            <w:noWrap/>
            <w:vAlign w:val="bottom"/>
            <w:hideMark/>
          </w:tcPr>
          <w:p w:rsidR="004F3D75" w:rsidRPr="004F3D75" w:rsidRDefault="004F3D75" w:rsidP="004F3D75">
            <w:pPr>
              <w:rPr>
                <w:rFonts w:cs="Arial"/>
                <w:b/>
                <w:bCs/>
                <w:color w:val="000000"/>
                <w:sz w:val="20"/>
                <w:szCs w:val="20"/>
              </w:rPr>
            </w:pPr>
            <w:r w:rsidRPr="004F3D75">
              <w:rPr>
                <w:rFonts w:cs="Arial"/>
                <w:b/>
                <w:bCs/>
                <w:color w:val="000000"/>
                <w:sz w:val="20"/>
                <w:szCs w:val="20"/>
              </w:rPr>
              <w:t>Total</w:t>
            </w:r>
          </w:p>
        </w:tc>
        <w:tc>
          <w:tcPr>
            <w:tcW w:w="1320" w:type="dxa"/>
            <w:tcBorders>
              <w:top w:val="nil"/>
              <w:left w:val="nil"/>
              <w:bottom w:val="single" w:sz="4" w:space="0" w:color="auto"/>
              <w:right w:val="nil"/>
            </w:tcBorders>
            <w:shd w:val="clear" w:color="000000" w:fill="DBDBDB"/>
            <w:noWrap/>
            <w:vAlign w:val="bottom"/>
            <w:hideMark/>
          </w:tcPr>
          <w:p w:rsidR="004F3D75" w:rsidRPr="004F3D75" w:rsidRDefault="004F3D75" w:rsidP="004F3D75">
            <w:pPr>
              <w:jc w:val="right"/>
              <w:rPr>
                <w:rFonts w:cs="Arial"/>
                <w:b/>
                <w:bCs/>
                <w:color w:val="000000"/>
                <w:sz w:val="20"/>
                <w:szCs w:val="20"/>
              </w:rPr>
            </w:pPr>
            <w:r w:rsidRPr="004F3D75">
              <w:rPr>
                <w:rFonts w:cs="Arial"/>
                <w:b/>
                <w:bCs/>
                <w:color w:val="000000"/>
                <w:sz w:val="20"/>
                <w:szCs w:val="20"/>
              </w:rPr>
              <w:t>663.1</w:t>
            </w:r>
          </w:p>
        </w:tc>
        <w:tc>
          <w:tcPr>
            <w:tcW w:w="960" w:type="dxa"/>
            <w:tcBorders>
              <w:top w:val="nil"/>
              <w:left w:val="nil"/>
              <w:bottom w:val="single" w:sz="4" w:space="0" w:color="auto"/>
              <w:right w:val="single" w:sz="4" w:space="0" w:color="auto"/>
            </w:tcBorders>
            <w:shd w:val="clear" w:color="000000" w:fill="DBDBDB"/>
            <w:noWrap/>
            <w:vAlign w:val="bottom"/>
            <w:hideMark/>
          </w:tcPr>
          <w:p w:rsidR="004F3D75" w:rsidRPr="004F3D75" w:rsidRDefault="004F3D75" w:rsidP="004F3D75">
            <w:pPr>
              <w:jc w:val="right"/>
              <w:rPr>
                <w:rFonts w:ascii="Calibri" w:hAnsi="Calibri" w:cs="Calibri"/>
                <w:color w:val="000000"/>
                <w:sz w:val="22"/>
                <w:szCs w:val="22"/>
              </w:rPr>
            </w:pPr>
            <w:r w:rsidRPr="004F3D75">
              <w:rPr>
                <w:rFonts w:ascii="Calibri" w:hAnsi="Calibri" w:cs="Calibri"/>
                <w:color w:val="000000"/>
                <w:sz w:val="22"/>
                <w:szCs w:val="22"/>
              </w:rPr>
              <w:t>100.0%</w:t>
            </w:r>
          </w:p>
        </w:tc>
      </w:tr>
    </w:tbl>
    <w:p w:rsidR="00634828" w:rsidRPr="00D870BA" w:rsidRDefault="00634828" w:rsidP="00D3321E">
      <w:pPr>
        <w:ind w:left="142"/>
        <w:rPr>
          <w:highlight w:val="yellow"/>
        </w:rPr>
      </w:pPr>
    </w:p>
    <w:p w:rsidR="00034C15" w:rsidRPr="00A221D6" w:rsidRDefault="00034C15" w:rsidP="001D56DB">
      <w:pPr>
        <w:pStyle w:val="Heading1"/>
        <w:ind w:left="142"/>
        <w:rPr>
          <w:sz w:val="28"/>
        </w:rPr>
      </w:pPr>
      <w:bookmarkStart w:id="4" w:name="_Toc444695164"/>
      <w:r w:rsidRPr="00A221D6">
        <w:rPr>
          <w:sz w:val="28"/>
        </w:rPr>
        <w:t>Statemen</w:t>
      </w:r>
      <w:r w:rsidR="00F677AF" w:rsidRPr="00A221D6">
        <w:rPr>
          <w:sz w:val="28"/>
        </w:rPr>
        <w:t>t</w:t>
      </w:r>
      <w:r w:rsidRPr="00A221D6">
        <w:rPr>
          <w:sz w:val="28"/>
        </w:rPr>
        <w:t xml:space="preserve"> concerning adult social care funding:</w:t>
      </w:r>
      <w:bookmarkEnd w:id="4"/>
    </w:p>
    <w:p w:rsidR="00034C15" w:rsidRDefault="00034C15" w:rsidP="001D56DB"/>
    <w:p w:rsidR="00034C15" w:rsidRPr="001D56DB" w:rsidRDefault="00034C15" w:rsidP="001D56DB">
      <w:pPr>
        <w:tabs>
          <w:tab w:val="left" w:pos="3165"/>
        </w:tabs>
        <w:ind w:left="142"/>
        <w:rPr>
          <w:rFonts w:cs="Arial"/>
        </w:rPr>
      </w:pPr>
      <w:r w:rsidRPr="001D56DB">
        <w:rPr>
          <w:rFonts w:cs="Arial"/>
        </w:rPr>
        <w:t xml:space="preserve">The Secretary of State for Communities and Local Government </w:t>
      </w:r>
      <w:r>
        <w:rPr>
          <w:rFonts w:cs="Arial"/>
        </w:rPr>
        <w:t xml:space="preserve">has </w:t>
      </w:r>
      <w:r w:rsidRPr="001D56DB">
        <w:rPr>
          <w:rFonts w:cs="Arial"/>
        </w:rPr>
        <w:t>made an offer to adult social care authorities</w:t>
      </w:r>
      <w:r>
        <w:rPr>
          <w:rFonts w:cs="Arial"/>
        </w:rPr>
        <w:t xml:space="preserve">. </w:t>
      </w:r>
      <w:r w:rsidRPr="001D56DB">
        <w:rPr>
          <w:rFonts w:cs="Arial"/>
          <w:color w:val="FF0000"/>
        </w:rPr>
        <w:t xml:space="preserve"> </w:t>
      </w:r>
      <w:r>
        <w:rPr>
          <w:rFonts w:cs="Arial"/>
        </w:rPr>
        <w:t>(</w:t>
      </w:r>
      <w:r w:rsidRPr="001D56DB">
        <w:rPr>
          <w:rFonts w:cs="Arial"/>
        </w:rPr>
        <w:t>“Adult social care authorities” are local authorities which have functions under Part 1 of the Care Act 2014, namely county councils in England, district councils for an area in England for which there is no county council, London borough councils, the Common Council of the City of London and the Council of the Isles of Scilly.</w:t>
      </w:r>
      <w:r>
        <w:rPr>
          <w:rFonts w:cs="Arial"/>
        </w:rPr>
        <w:t>)</w:t>
      </w:r>
    </w:p>
    <w:p w:rsidR="00034C15" w:rsidRPr="001D56DB" w:rsidRDefault="00034C15" w:rsidP="001D56DB">
      <w:pPr>
        <w:tabs>
          <w:tab w:val="left" w:pos="3165"/>
        </w:tabs>
        <w:ind w:left="142"/>
        <w:rPr>
          <w:rFonts w:cs="Arial"/>
        </w:rPr>
      </w:pPr>
      <w:r w:rsidRPr="001D56DB">
        <w:rPr>
          <w:rFonts w:cs="Arial"/>
        </w:rPr>
        <w:t xml:space="preserve"> </w:t>
      </w:r>
    </w:p>
    <w:p w:rsidR="00034C15" w:rsidRDefault="00034C15" w:rsidP="0077705E">
      <w:pPr>
        <w:ind w:left="142"/>
        <w:rPr>
          <w:rFonts w:cs="Arial"/>
        </w:rPr>
      </w:pPr>
      <w:r w:rsidRPr="001D56DB">
        <w:rPr>
          <w:rFonts w:cs="Arial"/>
        </w:rPr>
        <w:t xml:space="preserve">The offer </w:t>
      </w:r>
      <w:r>
        <w:rPr>
          <w:rFonts w:cs="Arial"/>
        </w:rPr>
        <w:t>is</w:t>
      </w:r>
      <w:r w:rsidRPr="001D56DB">
        <w:rPr>
          <w:rFonts w:cs="Arial"/>
        </w:rPr>
        <w:t xml:space="preserve"> the option of an adult social care authority being able to </w:t>
      </w:r>
      <w:r>
        <w:rPr>
          <w:rFonts w:cs="Arial"/>
        </w:rPr>
        <w:t>charge a</w:t>
      </w:r>
      <w:r w:rsidR="0077705E">
        <w:rPr>
          <w:rFonts w:cs="Arial"/>
        </w:rPr>
        <w:t xml:space="preserve">n additional “precept” on its council tax for financial years from the financial year beginning in 2016 without holding a referendum, to assist the authority in meeting expenditure on adult social care. </w:t>
      </w:r>
      <w:r w:rsidRPr="001D56DB">
        <w:rPr>
          <w:rFonts w:cs="Arial"/>
        </w:rPr>
        <w:t>Subject to the annual approval of the House of Commons, the Secretary of State intends to offer the option</w:t>
      </w:r>
      <w:r>
        <w:rPr>
          <w:rFonts w:cs="Arial"/>
        </w:rPr>
        <w:t xml:space="preserve"> of</w:t>
      </w:r>
      <w:r w:rsidRPr="001D56DB">
        <w:rPr>
          <w:rFonts w:cs="Arial"/>
        </w:rPr>
        <w:t xml:space="preserve"> </w:t>
      </w:r>
      <w:r>
        <w:rPr>
          <w:rFonts w:cs="Arial"/>
        </w:rPr>
        <w:t xml:space="preserve">charging this “precept” </w:t>
      </w:r>
      <w:r w:rsidR="0077705E">
        <w:rPr>
          <w:rFonts w:cs="Arial"/>
        </w:rPr>
        <w:t xml:space="preserve">at an appropriate level in each </w:t>
      </w:r>
      <w:r>
        <w:rPr>
          <w:rFonts w:cs="Arial"/>
        </w:rPr>
        <w:t xml:space="preserve">financial year </w:t>
      </w:r>
      <w:r w:rsidRPr="001D56DB">
        <w:rPr>
          <w:rFonts w:cs="Arial"/>
        </w:rPr>
        <w:t>up to and including 20</w:t>
      </w:r>
      <w:r w:rsidR="004B7B34">
        <w:rPr>
          <w:rFonts w:cs="Arial"/>
        </w:rPr>
        <w:t>2</w:t>
      </w:r>
      <w:r w:rsidR="00DE13D4">
        <w:rPr>
          <w:rFonts w:cs="Arial"/>
        </w:rPr>
        <w:t>4</w:t>
      </w:r>
      <w:r w:rsidRPr="001D56DB">
        <w:rPr>
          <w:rFonts w:cs="Arial"/>
        </w:rPr>
        <w:t>-2</w:t>
      </w:r>
      <w:r w:rsidR="00DE13D4">
        <w:rPr>
          <w:rFonts w:cs="Arial"/>
        </w:rPr>
        <w:t>5</w:t>
      </w:r>
      <w:r w:rsidRPr="001D56DB">
        <w:rPr>
          <w:rFonts w:cs="Arial"/>
        </w:rPr>
        <w:t xml:space="preserve">. </w:t>
      </w:r>
    </w:p>
    <w:p w:rsidR="00034C15" w:rsidRDefault="00034C15" w:rsidP="001D56DB">
      <w:pPr>
        <w:ind w:left="142"/>
        <w:rPr>
          <w:rFonts w:cs="Arial"/>
        </w:rPr>
      </w:pPr>
    </w:p>
    <w:p w:rsidR="00034C15" w:rsidRDefault="00034C15" w:rsidP="001D56DB">
      <w:pPr>
        <w:ind w:left="142"/>
        <w:rPr>
          <w:rFonts w:cs="Arial"/>
        </w:rPr>
      </w:pPr>
    </w:p>
    <w:p w:rsidR="0077705E" w:rsidRDefault="0077705E" w:rsidP="001D56DB">
      <w:pPr>
        <w:ind w:left="142"/>
        <w:rPr>
          <w:rFonts w:cs="Arial"/>
        </w:rPr>
      </w:pPr>
    </w:p>
    <w:p w:rsidR="00034C15" w:rsidRPr="001D56DB" w:rsidRDefault="00034C15" w:rsidP="001D56DB">
      <w:pPr>
        <w:ind w:left="142"/>
        <w:rPr>
          <w:rFonts w:cs="Arial"/>
        </w:rPr>
      </w:pPr>
    </w:p>
    <w:p w:rsidR="00034C15" w:rsidRDefault="00034C15" w:rsidP="00D3321E">
      <w:pPr>
        <w:ind w:left="142"/>
      </w:pPr>
    </w:p>
    <w:p w:rsidR="00355CBC" w:rsidRDefault="00355CBC" w:rsidP="00D3321E">
      <w:pPr>
        <w:ind w:left="142"/>
      </w:pPr>
    </w:p>
    <w:p w:rsidR="00355CBC" w:rsidRDefault="00355CBC" w:rsidP="00D3321E">
      <w:pPr>
        <w:ind w:left="142"/>
      </w:pPr>
    </w:p>
    <w:p w:rsidR="00355CBC" w:rsidRDefault="00355CBC" w:rsidP="00D3321E">
      <w:pPr>
        <w:ind w:left="142"/>
      </w:pPr>
    </w:p>
    <w:p w:rsidR="00071D45" w:rsidRDefault="00071D45" w:rsidP="00D3321E">
      <w:pPr>
        <w:ind w:left="142"/>
      </w:pPr>
    </w:p>
    <w:p w:rsidR="00071D45" w:rsidRDefault="00071D45" w:rsidP="00D3321E">
      <w:pPr>
        <w:ind w:left="142"/>
      </w:pPr>
    </w:p>
    <w:p w:rsidR="00071D45" w:rsidRDefault="00071D45" w:rsidP="00D3321E">
      <w:pPr>
        <w:ind w:left="142"/>
      </w:pPr>
    </w:p>
    <w:p w:rsidR="00034C15" w:rsidRDefault="00034C15" w:rsidP="00D3321E">
      <w:pPr>
        <w:pStyle w:val="Heading1"/>
        <w:ind w:left="142"/>
      </w:pPr>
      <w:bookmarkStart w:id="5" w:name="_Toc444695165"/>
      <w:r w:rsidRPr="001D56DB">
        <w:lastRenderedPageBreak/>
        <w:t>Levying</w:t>
      </w:r>
      <w:r>
        <w:t xml:space="preserve"> Authorities charges:</w:t>
      </w:r>
      <w:bookmarkEnd w:id="5"/>
    </w:p>
    <w:p w:rsidR="00034C15" w:rsidRDefault="00034C15" w:rsidP="00D3321E">
      <w:pPr>
        <w:ind w:left="142"/>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095"/>
        <w:gridCol w:w="1134"/>
        <w:gridCol w:w="1701"/>
      </w:tblGrid>
      <w:tr w:rsidR="00C76D2D" w:rsidRPr="00634828" w:rsidTr="00C76D2D">
        <w:tc>
          <w:tcPr>
            <w:tcW w:w="1276" w:type="dxa"/>
          </w:tcPr>
          <w:p w:rsidR="00C76D2D" w:rsidRPr="007B5308" w:rsidRDefault="00C76D2D" w:rsidP="00A221D6">
            <w:pPr>
              <w:ind w:left="142"/>
              <w:jc w:val="center"/>
              <w:rPr>
                <w:sz w:val="20"/>
                <w:szCs w:val="20"/>
              </w:rPr>
            </w:pPr>
            <w:r w:rsidRPr="007B5308">
              <w:rPr>
                <w:sz w:val="20"/>
                <w:szCs w:val="20"/>
              </w:rPr>
              <w:t>202</w:t>
            </w:r>
            <w:r w:rsidR="00634828" w:rsidRPr="007B5308">
              <w:rPr>
                <w:sz w:val="20"/>
                <w:szCs w:val="20"/>
              </w:rPr>
              <w:t>3</w:t>
            </w:r>
            <w:r w:rsidRPr="007B5308">
              <w:rPr>
                <w:sz w:val="20"/>
                <w:szCs w:val="20"/>
              </w:rPr>
              <w:t>/2</w:t>
            </w:r>
            <w:r w:rsidR="00634828" w:rsidRPr="007B5308">
              <w:rPr>
                <w:sz w:val="20"/>
                <w:szCs w:val="20"/>
              </w:rPr>
              <w:t>4</w:t>
            </w:r>
          </w:p>
          <w:p w:rsidR="00C76D2D" w:rsidRPr="007B5308" w:rsidRDefault="00C76D2D" w:rsidP="00A221D6">
            <w:pPr>
              <w:ind w:left="142"/>
              <w:jc w:val="center"/>
              <w:rPr>
                <w:sz w:val="20"/>
                <w:szCs w:val="20"/>
              </w:rPr>
            </w:pPr>
            <w:r w:rsidRPr="007B5308">
              <w:rPr>
                <w:sz w:val="20"/>
                <w:szCs w:val="20"/>
              </w:rPr>
              <w:t>£’000</w:t>
            </w:r>
          </w:p>
        </w:tc>
        <w:tc>
          <w:tcPr>
            <w:tcW w:w="6095" w:type="dxa"/>
            <w:vAlign w:val="center"/>
          </w:tcPr>
          <w:p w:rsidR="00C76D2D" w:rsidRPr="007B5308" w:rsidRDefault="00C76D2D" w:rsidP="00C76D2D">
            <w:pPr>
              <w:ind w:left="142"/>
              <w:rPr>
                <w:b/>
                <w:sz w:val="20"/>
                <w:szCs w:val="20"/>
              </w:rPr>
            </w:pPr>
            <w:r w:rsidRPr="007B5308">
              <w:rPr>
                <w:b/>
                <w:sz w:val="20"/>
                <w:szCs w:val="20"/>
              </w:rPr>
              <w:t>Levying Authority</w:t>
            </w:r>
          </w:p>
        </w:tc>
        <w:tc>
          <w:tcPr>
            <w:tcW w:w="1134" w:type="dxa"/>
          </w:tcPr>
          <w:p w:rsidR="00C76D2D" w:rsidRPr="007B5308" w:rsidRDefault="00C76D2D" w:rsidP="00A221D6">
            <w:pPr>
              <w:ind w:left="142"/>
              <w:jc w:val="center"/>
              <w:rPr>
                <w:sz w:val="20"/>
                <w:szCs w:val="20"/>
              </w:rPr>
            </w:pPr>
            <w:r w:rsidRPr="007B5308">
              <w:rPr>
                <w:sz w:val="20"/>
                <w:szCs w:val="20"/>
              </w:rPr>
              <w:t>202</w:t>
            </w:r>
            <w:r w:rsidR="00634828" w:rsidRPr="007B5308">
              <w:rPr>
                <w:sz w:val="20"/>
                <w:szCs w:val="20"/>
              </w:rPr>
              <w:t>4</w:t>
            </w:r>
            <w:r w:rsidRPr="007B5308">
              <w:rPr>
                <w:sz w:val="20"/>
                <w:szCs w:val="20"/>
              </w:rPr>
              <w:t>/2</w:t>
            </w:r>
            <w:r w:rsidR="00634828" w:rsidRPr="007B5308">
              <w:rPr>
                <w:sz w:val="20"/>
                <w:szCs w:val="20"/>
              </w:rPr>
              <w:t>5</w:t>
            </w:r>
          </w:p>
          <w:p w:rsidR="00C76D2D" w:rsidRPr="007B5308" w:rsidRDefault="00C76D2D" w:rsidP="00A221D6">
            <w:pPr>
              <w:ind w:left="142"/>
              <w:jc w:val="center"/>
              <w:rPr>
                <w:sz w:val="20"/>
                <w:szCs w:val="20"/>
              </w:rPr>
            </w:pPr>
            <w:r w:rsidRPr="007B5308">
              <w:rPr>
                <w:sz w:val="20"/>
                <w:szCs w:val="20"/>
              </w:rPr>
              <w:t>£’000</w:t>
            </w:r>
          </w:p>
        </w:tc>
        <w:tc>
          <w:tcPr>
            <w:tcW w:w="1701" w:type="dxa"/>
          </w:tcPr>
          <w:p w:rsidR="00C76D2D" w:rsidRPr="007B5308" w:rsidRDefault="00C76D2D" w:rsidP="00A221D6">
            <w:pPr>
              <w:ind w:left="142"/>
              <w:jc w:val="center"/>
              <w:rPr>
                <w:sz w:val="20"/>
                <w:szCs w:val="20"/>
              </w:rPr>
            </w:pPr>
            <w:r w:rsidRPr="007B5308">
              <w:rPr>
                <w:sz w:val="20"/>
                <w:szCs w:val="20"/>
              </w:rPr>
              <w:t>C/Tax per Band D dwelling</w:t>
            </w:r>
          </w:p>
        </w:tc>
      </w:tr>
      <w:tr w:rsidR="00C76D2D" w:rsidRPr="00634828" w:rsidTr="00C76D2D">
        <w:tc>
          <w:tcPr>
            <w:tcW w:w="1276" w:type="dxa"/>
          </w:tcPr>
          <w:p w:rsidR="00C76D2D" w:rsidRPr="007B5308" w:rsidRDefault="00C76D2D" w:rsidP="00C76D2D">
            <w:pPr>
              <w:jc w:val="center"/>
              <w:rPr>
                <w:sz w:val="20"/>
                <w:szCs w:val="20"/>
              </w:rPr>
            </w:pPr>
            <w:r w:rsidRPr="007B5308">
              <w:rPr>
                <w:sz w:val="20"/>
                <w:szCs w:val="20"/>
              </w:rPr>
              <w:t>44</w:t>
            </w:r>
            <w:r w:rsidR="00634828" w:rsidRPr="007B5308">
              <w:rPr>
                <w:sz w:val="20"/>
                <w:szCs w:val="20"/>
              </w:rPr>
              <w:t>8</w:t>
            </w:r>
          </w:p>
        </w:tc>
        <w:tc>
          <w:tcPr>
            <w:tcW w:w="6095" w:type="dxa"/>
          </w:tcPr>
          <w:p w:rsidR="00C76D2D" w:rsidRPr="007B5308" w:rsidRDefault="00C76D2D" w:rsidP="00C76D2D">
            <w:pPr>
              <w:ind w:left="142"/>
              <w:rPr>
                <w:sz w:val="20"/>
                <w:szCs w:val="20"/>
              </w:rPr>
            </w:pPr>
            <w:r w:rsidRPr="007B5308">
              <w:rPr>
                <w:sz w:val="20"/>
                <w:szCs w:val="20"/>
              </w:rPr>
              <w:t>London Pension Fund Authority</w:t>
            </w:r>
          </w:p>
          <w:p w:rsidR="00C76D2D" w:rsidRPr="007B5308" w:rsidRDefault="00C76D2D" w:rsidP="00C76D2D">
            <w:pPr>
              <w:ind w:left="142"/>
              <w:rPr>
                <w:sz w:val="20"/>
                <w:szCs w:val="20"/>
              </w:rPr>
            </w:pPr>
            <w:r w:rsidRPr="007B5308">
              <w:rPr>
                <w:sz w:val="20"/>
                <w:szCs w:val="20"/>
              </w:rPr>
              <w:t xml:space="preserve">169 Union Street, London, SE1 0LL </w:t>
            </w:r>
            <w:hyperlink r:id="rId11" w:history="1">
              <w:r w:rsidRPr="007B5308">
                <w:rPr>
                  <w:rStyle w:val="Hyperlink"/>
                  <w:sz w:val="20"/>
                  <w:szCs w:val="20"/>
                </w:rPr>
                <w:t>www.lpfa.org.uk</w:t>
              </w:r>
            </w:hyperlink>
            <w:r w:rsidRPr="007B5308">
              <w:rPr>
                <w:sz w:val="20"/>
                <w:szCs w:val="20"/>
              </w:rPr>
              <w:t xml:space="preserve"> </w:t>
            </w:r>
          </w:p>
        </w:tc>
        <w:tc>
          <w:tcPr>
            <w:tcW w:w="1134" w:type="dxa"/>
          </w:tcPr>
          <w:p w:rsidR="00C76D2D" w:rsidRPr="007B5308" w:rsidRDefault="00C76D2D" w:rsidP="00C76D2D">
            <w:pPr>
              <w:ind w:left="142"/>
              <w:jc w:val="center"/>
              <w:rPr>
                <w:sz w:val="20"/>
                <w:szCs w:val="20"/>
              </w:rPr>
            </w:pPr>
            <w:r w:rsidRPr="007B5308">
              <w:rPr>
                <w:sz w:val="20"/>
                <w:szCs w:val="20"/>
              </w:rPr>
              <w:t>44</w:t>
            </w:r>
            <w:r w:rsidR="00634828" w:rsidRPr="007B5308">
              <w:rPr>
                <w:sz w:val="20"/>
                <w:szCs w:val="20"/>
              </w:rPr>
              <w:t>7</w:t>
            </w:r>
          </w:p>
        </w:tc>
        <w:tc>
          <w:tcPr>
            <w:tcW w:w="1701" w:type="dxa"/>
          </w:tcPr>
          <w:p w:rsidR="00C76D2D" w:rsidRPr="007B5308" w:rsidRDefault="00C76D2D" w:rsidP="00C76D2D">
            <w:pPr>
              <w:ind w:left="142"/>
              <w:jc w:val="center"/>
              <w:rPr>
                <w:sz w:val="20"/>
                <w:szCs w:val="20"/>
              </w:rPr>
            </w:pPr>
            <w:r w:rsidRPr="007B5308">
              <w:rPr>
                <w:sz w:val="20"/>
                <w:szCs w:val="20"/>
              </w:rPr>
              <w:t>£3.</w:t>
            </w:r>
            <w:r w:rsidR="00634828" w:rsidRPr="007B5308">
              <w:rPr>
                <w:sz w:val="20"/>
                <w:szCs w:val="20"/>
              </w:rPr>
              <w:t>30</w:t>
            </w:r>
          </w:p>
        </w:tc>
      </w:tr>
      <w:tr w:rsidR="00C76D2D" w:rsidRPr="00634828" w:rsidTr="00C76D2D">
        <w:trPr>
          <w:trHeight w:val="589"/>
        </w:trPr>
        <w:tc>
          <w:tcPr>
            <w:tcW w:w="1276" w:type="dxa"/>
          </w:tcPr>
          <w:p w:rsidR="00C76D2D" w:rsidRPr="007B5308" w:rsidRDefault="00C76D2D" w:rsidP="00C76D2D">
            <w:pPr>
              <w:jc w:val="center"/>
              <w:rPr>
                <w:sz w:val="20"/>
                <w:szCs w:val="20"/>
              </w:rPr>
            </w:pPr>
            <w:r w:rsidRPr="007B5308">
              <w:rPr>
                <w:sz w:val="20"/>
                <w:szCs w:val="20"/>
              </w:rPr>
              <w:t>24</w:t>
            </w:r>
            <w:r w:rsidR="00634828" w:rsidRPr="007B5308">
              <w:rPr>
                <w:sz w:val="20"/>
                <w:szCs w:val="20"/>
              </w:rPr>
              <w:t>6</w:t>
            </w:r>
          </w:p>
        </w:tc>
        <w:tc>
          <w:tcPr>
            <w:tcW w:w="6095" w:type="dxa"/>
          </w:tcPr>
          <w:p w:rsidR="00C76D2D" w:rsidRPr="007B5308" w:rsidRDefault="00C76D2D" w:rsidP="00C76D2D">
            <w:pPr>
              <w:ind w:left="142"/>
              <w:rPr>
                <w:sz w:val="20"/>
                <w:szCs w:val="20"/>
              </w:rPr>
            </w:pPr>
            <w:r w:rsidRPr="007B5308">
              <w:rPr>
                <w:sz w:val="20"/>
                <w:szCs w:val="20"/>
              </w:rPr>
              <w:t>London Borough’s Grants Committee</w:t>
            </w:r>
          </w:p>
          <w:p w:rsidR="00C76D2D" w:rsidRPr="007B5308" w:rsidRDefault="00C76D2D" w:rsidP="00C76D2D">
            <w:pPr>
              <w:ind w:left="142"/>
              <w:rPr>
                <w:sz w:val="20"/>
                <w:szCs w:val="20"/>
              </w:rPr>
            </w:pPr>
            <w:r w:rsidRPr="007B5308">
              <w:rPr>
                <w:sz w:val="20"/>
                <w:szCs w:val="20"/>
              </w:rPr>
              <w:t>London Councils,59 ½  Southwark Street, London, SE1 0AL</w:t>
            </w:r>
          </w:p>
          <w:p w:rsidR="00C76D2D" w:rsidRPr="007B5308" w:rsidRDefault="00C76D2D" w:rsidP="00C76D2D">
            <w:pPr>
              <w:ind w:left="142"/>
              <w:rPr>
                <w:sz w:val="20"/>
                <w:szCs w:val="20"/>
              </w:rPr>
            </w:pPr>
            <w:r w:rsidRPr="007B5308">
              <w:rPr>
                <w:sz w:val="20"/>
                <w:szCs w:val="20"/>
              </w:rPr>
              <w:t xml:space="preserve">020 7934 9999 </w:t>
            </w:r>
            <w:hyperlink r:id="rId12" w:history="1">
              <w:r w:rsidRPr="007B5308">
                <w:rPr>
                  <w:rStyle w:val="Hyperlink"/>
                  <w:sz w:val="20"/>
                  <w:szCs w:val="20"/>
                </w:rPr>
                <w:t>www.londoncouncils.gov.uk</w:t>
              </w:r>
            </w:hyperlink>
            <w:r w:rsidRPr="007B5308">
              <w:rPr>
                <w:sz w:val="20"/>
                <w:szCs w:val="20"/>
              </w:rPr>
              <w:t xml:space="preserve"> </w:t>
            </w:r>
          </w:p>
        </w:tc>
        <w:tc>
          <w:tcPr>
            <w:tcW w:w="1134" w:type="dxa"/>
          </w:tcPr>
          <w:p w:rsidR="00C76D2D" w:rsidRPr="007B5308" w:rsidRDefault="00634828" w:rsidP="00C76D2D">
            <w:pPr>
              <w:ind w:left="142"/>
              <w:jc w:val="center"/>
              <w:rPr>
                <w:sz w:val="20"/>
                <w:szCs w:val="20"/>
              </w:rPr>
            </w:pPr>
            <w:r w:rsidRPr="007B5308">
              <w:rPr>
                <w:sz w:val="20"/>
                <w:szCs w:val="20"/>
              </w:rPr>
              <w:t>248</w:t>
            </w:r>
          </w:p>
        </w:tc>
        <w:tc>
          <w:tcPr>
            <w:tcW w:w="1701" w:type="dxa"/>
          </w:tcPr>
          <w:p w:rsidR="00C76D2D" w:rsidRPr="007B5308" w:rsidRDefault="00C76D2D" w:rsidP="00C76D2D">
            <w:pPr>
              <w:ind w:left="142"/>
              <w:jc w:val="center"/>
              <w:rPr>
                <w:sz w:val="20"/>
                <w:szCs w:val="20"/>
              </w:rPr>
            </w:pPr>
            <w:r w:rsidRPr="007B5308">
              <w:rPr>
                <w:sz w:val="20"/>
                <w:szCs w:val="20"/>
              </w:rPr>
              <w:t>£1.8</w:t>
            </w:r>
            <w:r w:rsidR="007C17AF" w:rsidRPr="007B5308">
              <w:rPr>
                <w:sz w:val="20"/>
                <w:szCs w:val="20"/>
              </w:rPr>
              <w:t>3</w:t>
            </w:r>
          </w:p>
        </w:tc>
      </w:tr>
      <w:tr w:rsidR="00C76D2D" w:rsidRPr="00634828" w:rsidTr="00C76D2D">
        <w:tc>
          <w:tcPr>
            <w:tcW w:w="1276" w:type="dxa"/>
          </w:tcPr>
          <w:p w:rsidR="00C76D2D" w:rsidRPr="007B5308" w:rsidRDefault="00C76D2D" w:rsidP="00C76D2D">
            <w:pPr>
              <w:jc w:val="center"/>
              <w:rPr>
                <w:sz w:val="20"/>
                <w:szCs w:val="20"/>
              </w:rPr>
            </w:pPr>
            <w:r w:rsidRPr="007B5308">
              <w:rPr>
                <w:sz w:val="20"/>
                <w:szCs w:val="20"/>
              </w:rPr>
              <w:t>26</w:t>
            </w:r>
            <w:r w:rsidR="00634828" w:rsidRPr="007B5308">
              <w:rPr>
                <w:sz w:val="20"/>
                <w:szCs w:val="20"/>
              </w:rPr>
              <w:t>6</w:t>
            </w:r>
          </w:p>
        </w:tc>
        <w:tc>
          <w:tcPr>
            <w:tcW w:w="6095" w:type="dxa"/>
          </w:tcPr>
          <w:p w:rsidR="00C76D2D" w:rsidRPr="007B5308" w:rsidRDefault="00C76D2D" w:rsidP="00C76D2D">
            <w:pPr>
              <w:ind w:left="142"/>
              <w:rPr>
                <w:sz w:val="20"/>
                <w:szCs w:val="20"/>
              </w:rPr>
            </w:pPr>
            <w:r w:rsidRPr="007B5308">
              <w:rPr>
                <w:sz w:val="20"/>
                <w:szCs w:val="20"/>
              </w:rPr>
              <w:t>Environment Agency</w:t>
            </w:r>
          </w:p>
          <w:p w:rsidR="00C76D2D" w:rsidRPr="007B5308" w:rsidRDefault="00C76D2D" w:rsidP="00C76D2D">
            <w:pPr>
              <w:ind w:left="142"/>
              <w:rPr>
                <w:sz w:val="20"/>
                <w:szCs w:val="20"/>
              </w:rPr>
            </w:pPr>
            <w:r w:rsidRPr="007B5308">
              <w:rPr>
                <w:sz w:val="20"/>
                <w:szCs w:val="20"/>
              </w:rPr>
              <w:t xml:space="preserve">National Customer Contact Centre, PO Box 544, Rotherham S60 1BY </w:t>
            </w:r>
          </w:p>
        </w:tc>
        <w:tc>
          <w:tcPr>
            <w:tcW w:w="1134" w:type="dxa"/>
          </w:tcPr>
          <w:p w:rsidR="00C76D2D" w:rsidRPr="007B5308" w:rsidRDefault="00634828" w:rsidP="00C76D2D">
            <w:pPr>
              <w:ind w:left="142"/>
              <w:jc w:val="center"/>
              <w:rPr>
                <w:sz w:val="20"/>
                <w:szCs w:val="20"/>
              </w:rPr>
            </w:pPr>
            <w:r w:rsidRPr="007B5308">
              <w:rPr>
                <w:sz w:val="20"/>
                <w:szCs w:val="20"/>
              </w:rPr>
              <w:t>270</w:t>
            </w:r>
          </w:p>
        </w:tc>
        <w:tc>
          <w:tcPr>
            <w:tcW w:w="1701" w:type="dxa"/>
          </w:tcPr>
          <w:p w:rsidR="00C76D2D" w:rsidRPr="007B5308" w:rsidRDefault="00C76D2D" w:rsidP="00C76D2D">
            <w:pPr>
              <w:ind w:left="142"/>
              <w:jc w:val="center"/>
              <w:rPr>
                <w:sz w:val="20"/>
                <w:szCs w:val="20"/>
              </w:rPr>
            </w:pPr>
            <w:r w:rsidRPr="007B5308">
              <w:rPr>
                <w:sz w:val="20"/>
                <w:szCs w:val="20"/>
              </w:rPr>
              <w:t>£</w:t>
            </w:r>
            <w:r w:rsidR="00634828" w:rsidRPr="007B5308">
              <w:rPr>
                <w:sz w:val="20"/>
                <w:szCs w:val="20"/>
              </w:rPr>
              <w:t>2</w:t>
            </w:r>
            <w:r w:rsidRPr="007B5308">
              <w:rPr>
                <w:sz w:val="20"/>
                <w:szCs w:val="20"/>
              </w:rPr>
              <w:t>.</w:t>
            </w:r>
            <w:r w:rsidR="00634828" w:rsidRPr="007B5308">
              <w:rPr>
                <w:sz w:val="20"/>
                <w:szCs w:val="20"/>
              </w:rPr>
              <w:t>00</w:t>
            </w:r>
          </w:p>
        </w:tc>
      </w:tr>
      <w:tr w:rsidR="00C76D2D" w:rsidRPr="00634828" w:rsidTr="00C76D2D">
        <w:tc>
          <w:tcPr>
            <w:tcW w:w="1276" w:type="dxa"/>
          </w:tcPr>
          <w:p w:rsidR="00C76D2D" w:rsidRPr="007B5308" w:rsidRDefault="00C76D2D" w:rsidP="00C76D2D">
            <w:pPr>
              <w:jc w:val="center"/>
              <w:rPr>
                <w:sz w:val="20"/>
                <w:szCs w:val="20"/>
              </w:rPr>
            </w:pPr>
            <w:r w:rsidRPr="007B5308">
              <w:rPr>
                <w:sz w:val="20"/>
                <w:szCs w:val="20"/>
              </w:rPr>
              <w:t>3</w:t>
            </w:r>
            <w:r w:rsidR="00634828" w:rsidRPr="007B5308">
              <w:rPr>
                <w:sz w:val="20"/>
                <w:szCs w:val="20"/>
              </w:rPr>
              <w:t>41</w:t>
            </w:r>
          </w:p>
        </w:tc>
        <w:tc>
          <w:tcPr>
            <w:tcW w:w="6095" w:type="dxa"/>
          </w:tcPr>
          <w:p w:rsidR="00C76D2D" w:rsidRPr="007B5308" w:rsidRDefault="00C76D2D" w:rsidP="00C76D2D">
            <w:pPr>
              <w:ind w:left="142"/>
              <w:rPr>
                <w:sz w:val="20"/>
                <w:szCs w:val="20"/>
              </w:rPr>
            </w:pPr>
            <w:r w:rsidRPr="007B5308">
              <w:rPr>
                <w:sz w:val="20"/>
                <w:szCs w:val="20"/>
              </w:rPr>
              <w:t>Lee Valley Regional Park</w:t>
            </w:r>
          </w:p>
          <w:p w:rsidR="00C76D2D" w:rsidRPr="007B5308" w:rsidRDefault="00C76D2D" w:rsidP="00C76D2D">
            <w:pPr>
              <w:ind w:left="142"/>
              <w:rPr>
                <w:sz w:val="20"/>
                <w:szCs w:val="20"/>
              </w:rPr>
            </w:pPr>
            <w:r w:rsidRPr="007B5308">
              <w:rPr>
                <w:sz w:val="20"/>
                <w:szCs w:val="20"/>
              </w:rPr>
              <w:t xml:space="preserve">Information Service, Myddelton House, Bulls Cross, Enfield, EN2 9HG </w:t>
            </w:r>
            <w:hyperlink r:id="rId13" w:history="1">
              <w:r w:rsidRPr="007B5308">
                <w:rPr>
                  <w:rStyle w:val="Hyperlink"/>
                  <w:sz w:val="20"/>
                  <w:szCs w:val="20"/>
                </w:rPr>
                <w:t>www.leevalleypark.org.uk</w:t>
              </w:r>
            </w:hyperlink>
            <w:r w:rsidRPr="007B5308">
              <w:rPr>
                <w:sz w:val="20"/>
                <w:szCs w:val="20"/>
              </w:rPr>
              <w:t xml:space="preserve"> </w:t>
            </w:r>
          </w:p>
        </w:tc>
        <w:tc>
          <w:tcPr>
            <w:tcW w:w="1134" w:type="dxa"/>
          </w:tcPr>
          <w:p w:rsidR="00C76D2D" w:rsidRPr="007B5308" w:rsidRDefault="00634828" w:rsidP="00C76D2D">
            <w:pPr>
              <w:ind w:left="142"/>
              <w:jc w:val="center"/>
              <w:rPr>
                <w:sz w:val="20"/>
                <w:szCs w:val="20"/>
              </w:rPr>
            </w:pPr>
            <w:r w:rsidRPr="007B5308">
              <w:rPr>
                <w:sz w:val="20"/>
                <w:szCs w:val="20"/>
              </w:rPr>
              <w:t>350</w:t>
            </w:r>
          </w:p>
        </w:tc>
        <w:tc>
          <w:tcPr>
            <w:tcW w:w="1701" w:type="dxa"/>
          </w:tcPr>
          <w:p w:rsidR="00C76D2D" w:rsidRPr="007B5308" w:rsidRDefault="00C76D2D" w:rsidP="00C76D2D">
            <w:pPr>
              <w:ind w:left="142"/>
              <w:jc w:val="center"/>
              <w:rPr>
                <w:sz w:val="20"/>
                <w:szCs w:val="20"/>
              </w:rPr>
            </w:pPr>
            <w:r w:rsidRPr="007B5308">
              <w:rPr>
                <w:sz w:val="20"/>
                <w:szCs w:val="20"/>
              </w:rPr>
              <w:t>£2.</w:t>
            </w:r>
            <w:r w:rsidR="00634828" w:rsidRPr="007B5308">
              <w:rPr>
                <w:sz w:val="20"/>
                <w:szCs w:val="20"/>
              </w:rPr>
              <w:t>59</w:t>
            </w:r>
          </w:p>
        </w:tc>
      </w:tr>
      <w:tr w:rsidR="00C76D2D" w:rsidRPr="00A14808" w:rsidTr="00C76D2D">
        <w:tc>
          <w:tcPr>
            <w:tcW w:w="1276" w:type="dxa"/>
          </w:tcPr>
          <w:p w:rsidR="00C76D2D" w:rsidRPr="007B5308" w:rsidRDefault="00C76D2D" w:rsidP="00C76D2D">
            <w:pPr>
              <w:jc w:val="center"/>
              <w:rPr>
                <w:b/>
                <w:sz w:val="20"/>
                <w:szCs w:val="20"/>
              </w:rPr>
            </w:pPr>
            <w:r w:rsidRPr="007B5308">
              <w:rPr>
                <w:b/>
                <w:sz w:val="20"/>
                <w:szCs w:val="20"/>
              </w:rPr>
              <w:t>1,</w:t>
            </w:r>
            <w:r w:rsidR="00634828" w:rsidRPr="007B5308">
              <w:rPr>
                <w:b/>
                <w:sz w:val="20"/>
                <w:szCs w:val="20"/>
              </w:rPr>
              <w:t>301</w:t>
            </w:r>
          </w:p>
        </w:tc>
        <w:tc>
          <w:tcPr>
            <w:tcW w:w="6095" w:type="dxa"/>
          </w:tcPr>
          <w:p w:rsidR="00C76D2D" w:rsidRPr="007B5308" w:rsidRDefault="00C76D2D" w:rsidP="00C76D2D">
            <w:pPr>
              <w:ind w:left="142"/>
              <w:rPr>
                <w:b/>
                <w:sz w:val="20"/>
                <w:szCs w:val="20"/>
              </w:rPr>
            </w:pPr>
          </w:p>
        </w:tc>
        <w:tc>
          <w:tcPr>
            <w:tcW w:w="1134" w:type="dxa"/>
          </w:tcPr>
          <w:p w:rsidR="00C76D2D" w:rsidRPr="007B5308" w:rsidRDefault="00C76D2D" w:rsidP="00C76D2D">
            <w:pPr>
              <w:ind w:left="142"/>
              <w:jc w:val="center"/>
              <w:rPr>
                <w:b/>
                <w:sz w:val="20"/>
                <w:szCs w:val="20"/>
              </w:rPr>
            </w:pPr>
            <w:r w:rsidRPr="007B5308">
              <w:rPr>
                <w:b/>
                <w:sz w:val="20"/>
                <w:szCs w:val="20"/>
              </w:rPr>
              <w:t>1,</w:t>
            </w:r>
            <w:r w:rsidR="00634828" w:rsidRPr="007B5308">
              <w:rPr>
                <w:b/>
                <w:sz w:val="20"/>
                <w:szCs w:val="20"/>
              </w:rPr>
              <w:t>315</w:t>
            </w:r>
          </w:p>
        </w:tc>
        <w:tc>
          <w:tcPr>
            <w:tcW w:w="1701" w:type="dxa"/>
          </w:tcPr>
          <w:p w:rsidR="00C76D2D" w:rsidRPr="007B5308" w:rsidRDefault="00C76D2D" w:rsidP="00C76D2D">
            <w:pPr>
              <w:ind w:left="142"/>
              <w:jc w:val="center"/>
              <w:rPr>
                <w:b/>
                <w:sz w:val="20"/>
                <w:szCs w:val="20"/>
              </w:rPr>
            </w:pPr>
            <w:r w:rsidRPr="007B5308">
              <w:rPr>
                <w:b/>
                <w:sz w:val="20"/>
                <w:szCs w:val="20"/>
              </w:rPr>
              <w:t>£9.</w:t>
            </w:r>
            <w:r w:rsidR="00634828" w:rsidRPr="007B5308">
              <w:rPr>
                <w:b/>
                <w:sz w:val="20"/>
                <w:szCs w:val="20"/>
              </w:rPr>
              <w:t>72</w:t>
            </w:r>
          </w:p>
        </w:tc>
      </w:tr>
    </w:tbl>
    <w:p w:rsidR="00034C15" w:rsidRDefault="00034C15" w:rsidP="00D3321E">
      <w:pPr>
        <w:ind w:left="142"/>
      </w:pPr>
    </w:p>
    <w:p w:rsidR="00034C15" w:rsidRPr="00A221D6" w:rsidRDefault="00034C15" w:rsidP="00D3321E">
      <w:pPr>
        <w:pStyle w:val="Heading1"/>
        <w:spacing w:before="0"/>
        <w:ind w:left="142"/>
        <w:rPr>
          <w:sz w:val="28"/>
        </w:rPr>
      </w:pPr>
      <w:bookmarkStart w:id="6" w:name="_Toc444695166"/>
      <w:r w:rsidRPr="00A221D6">
        <w:rPr>
          <w:sz w:val="28"/>
        </w:rPr>
        <w:t>Environment Agency:</w:t>
      </w:r>
      <w:bookmarkEnd w:id="6"/>
    </w:p>
    <w:p w:rsidR="00034C15" w:rsidRPr="005F4126" w:rsidRDefault="00034C15" w:rsidP="00D3321E">
      <w:pPr>
        <w:ind w:left="142"/>
      </w:pPr>
    </w:p>
    <w:p w:rsidR="00034C15" w:rsidRDefault="00034C15" w:rsidP="00355CBC">
      <w:pPr>
        <w:ind w:left="142"/>
      </w:pPr>
      <w:r>
        <w:t>The Environment Agency is a levying body for its Flood and Coastal Erosion Risk Management Functions under the Flood and Water Management Act 2010 and the Environment Agency (Levies) (England and Wales) Regulations 2011.</w:t>
      </w:r>
    </w:p>
    <w:p w:rsidR="00034C15" w:rsidRDefault="00034C15" w:rsidP="00D3321E">
      <w:pPr>
        <w:ind w:left="142"/>
      </w:pPr>
    </w:p>
    <w:p w:rsidR="00034C15" w:rsidRDefault="00034C15" w:rsidP="00D3321E">
      <w:pPr>
        <w:ind w:left="142"/>
      </w:pPr>
      <w:r>
        <w:rPr>
          <w:b/>
        </w:rPr>
        <w:t>Environment Agency Southern Region</w:t>
      </w:r>
    </w:p>
    <w:p w:rsidR="00034C15" w:rsidRDefault="00034C15" w:rsidP="00355CBC">
      <w:pPr>
        <w:ind w:left="142"/>
      </w:pPr>
      <w:r>
        <w:t>The Environment Agency has powers in respect of flood and coastal erosion risk management for 3540 kilometres of main river and along tidal and sea defences in the area of the Southern Regional Flood and Coastal Committee.</w:t>
      </w:r>
    </w:p>
    <w:p w:rsidR="00034C15" w:rsidRDefault="00034C15" w:rsidP="00D3321E">
      <w:pPr>
        <w:ind w:left="142"/>
        <w:rPr>
          <w:rFonts w:ascii="Times New Roman" w:hAnsi="Times New Roman"/>
          <w:sz w:val="20"/>
          <w:szCs w:val="20"/>
        </w:rPr>
      </w:pPr>
      <w:r>
        <w:fldChar w:fldCharType="begin"/>
      </w:r>
      <w:r>
        <w:instrText xml:space="preserve"> LINK Excel.Sheet.8 "\\\\lbb2000\\lbbdfs\\Users\\exeted01\\Council Tax\\2014-15\\Copy of Environment Agency Levies Final 2013-14 mock 2014-15.xls" Sheet1!R2C1:R7C3 \a \f 5 \h  \* MERGEFORMAT </w:instrText>
      </w:r>
      <w:r>
        <w:fldChar w:fldCharType="separate"/>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09"/>
        <w:gridCol w:w="3686"/>
      </w:tblGrid>
      <w:tr w:rsidR="00034C15" w:rsidRPr="00ED10C0" w:rsidTr="00177D03">
        <w:trPr>
          <w:trHeight w:val="354"/>
        </w:trPr>
        <w:tc>
          <w:tcPr>
            <w:tcW w:w="3119" w:type="dxa"/>
            <w:noWrap/>
            <w:hideMark/>
          </w:tcPr>
          <w:p w:rsidR="00034C15" w:rsidRPr="00ED10C0" w:rsidRDefault="00034C15" w:rsidP="00177D03">
            <w:pPr>
              <w:ind w:left="142"/>
            </w:pPr>
            <w:r w:rsidRPr="00ED10C0">
              <w:t> </w:t>
            </w:r>
          </w:p>
        </w:tc>
        <w:tc>
          <w:tcPr>
            <w:tcW w:w="6095" w:type="dxa"/>
            <w:gridSpan w:val="2"/>
            <w:hideMark/>
          </w:tcPr>
          <w:p w:rsidR="00034C15" w:rsidRPr="00177D03" w:rsidRDefault="00034C15" w:rsidP="00177D03">
            <w:pPr>
              <w:ind w:left="142"/>
              <w:rPr>
                <w:b/>
              </w:rPr>
            </w:pPr>
            <w:r w:rsidRPr="00177D03">
              <w:rPr>
                <w:b/>
              </w:rPr>
              <w:t>Southern Region Flood and Coastal Committee</w:t>
            </w:r>
          </w:p>
        </w:tc>
      </w:tr>
      <w:tr w:rsidR="00A6646E" w:rsidRPr="00ED10C0" w:rsidTr="003B7A41">
        <w:trPr>
          <w:trHeight w:val="255"/>
        </w:trPr>
        <w:tc>
          <w:tcPr>
            <w:tcW w:w="3119" w:type="dxa"/>
            <w:noWrap/>
            <w:hideMark/>
          </w:tcPr>
          <w:p w:rsidR="00A6646E" w:rsidRPr="00ED10C0" w:rsidRDefault="00A6646E" w:rsidP="00A6646E">
            <w:pPr>
              <w:ind w:left="142"/>
            </w:pPr>
            <w:r w:rsidRPr="00ED10C0">
              <w:t> </w:t>
            </w:r>
          </w:p>
        </w:tc>
        <w:tc>
          <w:tcPr>
            <w:tcW w:w="2409" w:type="dxa"/>
            <w:hideMark/>
          </w:tcPr>
          <w:p w:rsidR="00A6646E" w:rsidRPr="00ED10C0" w:rsidRDefault="00A6646E" w:rsidP="00A6646E">
            <w:pPr>
              <w:ind w:left="142"/>
              <w:jc w:val="right"/>
            </w:pPr>
            <w:r>
              <w:t>202</w:t>
            </w:r>
            <w:r w:rsidR="00CF139C">
              <w:t>3</w:t>
            </w:r>
            <w:r>
              <w:t>/2</w:t>
            </w:r>
            <w:r w:rsidR="00CF139C">
              <w:t>4</w:t>
            </w:r>
          </w:p>
        </w:tc>
        <w:tc>
          <w:tcPr>
            <w:tcW w:w="3686" w:type="dxa"/>
          </w:tcPr>
          <w:p w:rsidR="00A6646E" w:rsidRPr="00ED10C0" w:rsidRDefault="00A6646E" w:rsidP="00A6646E">
            <w:pPr>
              <w:ind w:left="142"/>
              <w:jc w:val="right"/>
            </w:pPr>
            <w:r>
              <w:t>202</w:t>
            </w:r>
            <w:r w:rsidR="00686EDA">
              <w:t>4</w:t>
            </w:r>
            <w:r>
              <w:t>/2</w:t>
            </w:r>
            <w:r w:rsidR="00686EDA">
              <w:t>5</w:t>
            </w:r>
          </w:p>
        </w:tc>
      </w:tr>
      <w:tr w:rsidR="00A6646E" w:rsidRPr="00ED10C0" w:rsidTr="00177D03">
        <w:trPr>
          <w:trHeight w:val="255"/>
        </w:trPr>
        <w:tc>
          <w:tcPr>
            <w:tcW w:w="3119" w:type="dxa"/>
            <w:noWrap/>
            <w:hideMark/>
          </w:tcPr>
          <w:p w:rsidR="00A6646E" w:rsidRPr="00ED10C0" w:rsidRDefault="00A6646E" w:rsidP="00A6646E">
            <w:pPr>
              <w:ind w:left="142"/>
            </w:pPr>
            <w:r w:rsidRPr="00ED10C0">
              <w:t> </w:t>
            </w:r>
          </w:p>
        </w:tc>
        <w:tc>
          <w:tcPr>
            <w:tcW w:w="2409" w:type="dxa"/>
            <w:noWrap/>
            <w:hideMark/>
          </w:tcPr>
          <w:p w:rsidR="00A6646E" w:rsidRPr="00ED10C0" w:rsidRDefault="00A6646E" w:rsidP="00A6646E">
            <w:pPr>
              <w:ind w:left="142"/>
              <w:jc w:val="right"/>
            </w:pPr>
            <w:r w:rsidRPr="00A6646E">
              <w:t>000s</w:t>
            </w:r>
          </w:p>
        </w:tc>
        <w:tc>
          <w:tcPr>
            <w:tcW w:w="3686" w:type="dxa"/>
            <w:noWrap/>
            <w:hideMark/>
          </w:tcPr>
          <w:p w:rsidR="00A6646E" w:rsidRPr="00A6646E" w:rsidRDefault="00A6646E" w:rsidP="00A6646E">
            <w:pPr>
              <w:ind w:left="142"/>
              <w:jc w:val="right"/>
            </w:pPr>
            <w:r w:rsidRPr="00A6646E">
              <w:t>000s</w:t>
            </w:r>
          </w:p>
        </w:tc>
      </w:tr>
      <w:tr w:rsidR="00A6646E" w:rsidRPr="00ED10C0" w:rsidTr="00E65C77">
        <w:trPr>
          <w:trHeight w:val="255"/>
        </w:trPr>
        <w:tc>
          <w:tcPr>
            <w:tcW w:w="3119" w:type="dxa"/>
            <w:noWrap/>
            <w:hideMark/>
          </w:tcPr>
          <w:p w:rsidR="00A6646E" w:rsidRPr="00ED10C0" w:rsidRDefault="00A6646E" w:rsidP="00A6646E">
            <w:pPr>
              <w:ind w:left="142"/>
            </w:pPr>
            <w:r w:rsidRPr="00ED10C0">
              <w:t>Gross Expenditure</w:t>
            </w:r>
          </w:p>
        </w:tc>
        <w:tc>
          <w:tcPr>
            <w:tcW w:w="2409" w:type="dxa"/>
            <w:noWrap/>
            <w:hideMark/>
          </w:tcPr>
          <w:p w:rsidR="00A6646E" w:rsidRPr="00ED10C0" w:rsidRDefault="00A6646E" w:rsidP="00A6646E">
            <w:pPr>
              <w:ind w:left="142"/>
              <w:jc w:val="right"/>
            </w:pPr>
            <w:r w:rsidRPr="00A6646E">
              <w:t>£1</w:t>
            </w:r>
            <w:r w:rsidR="00686EDA">
              <w:t>00</w:t>
            </w:r>
            <w:r w:rsidRPr="00A6646E">
              <w:t>,</w:t>
            </w:r>
            <w:r w:rsidR="00686EDA">
              <w:t>727</w:t>
            </w:r>
          </w:p>
        </w:tc>
        <w:tc>
          <w:tcPr>
            <w:tcW w:w="3686" w:type="dxa"/>
            <w:noWrap/>
          </w:tcPr>
          <w:p w:rsidR="00A6646E" w:rsidRPr="00A6646E" w:rsidRDefault="00A6646E" w:rsidP="00A6646E">
            <w:pPr>
              <w:ind w:left="142"/>
              <w:jc w:val="right"/>
            </w:pPr>
            <w:r w:rsidRPr="00A6646E">
              <w:t>£1</w:t>
            </w:r>
            <w:r w:rsidR="00686EDA">
              <w:t>06</w:t>
            </w:r>
            <w:r w:rsidRPr="00A6646E">
              <w:t>,</w:t>
            </w:r>
            <w:r w:rsidR="00686EDA">
              <w:t>443</w:t>
            </w:r>
          </w:p>
        </w:tc>
      </w:tr>
      <w:tr w:rsidR="00A6646E" w:rsidRPr="00ED10C0" w:rsidTr="00E65C77">
        <w:trPr>
          <w:trHeight w:val="255"/>
        </w:trPr>
        <w:tc>
          <w:tcPr>
            <w:tcW w:w="3119" w:type="dxa"/>
            <w:noWrap/>
            <w:hideMark/>
          </w:tcPr>
          <w:p w:rsidR="00A6646E" w:rsidRPr="00ED10C0" w:rsidRDefault="00A6646E" w:rsidP="00A6646E">
            <w:pPr>
              <w:ind w:left="142"/>
            </w:pPr>
            <w:r w:rsidRPr="00ED10C0">
              <w:t>Levies Raised</w:t>
            </w:r>
          </w:p>
        </w:tc>
        <w:tc>
          <w:tcPr>
            <w:tcW w:w="2409" w:type="dxa"/>
            <w:noWrap/>
            <w:hideMark/>
          </w:tcPr>
          <w:p w:rsidR="00A6646E" w:rsidRPr="00ED10C0" w:rsidRDefault="00A6646E" w:rsidP="00A6646E">
            <w:pPr>
              <w:ind w:left="142"/>
              <w:jc w:val="right"/>
            </w:pPr>
            <w:r w:rsidRPr="005D55B5">
              <w:t>£1,5</w:t>
            </w:r>
            <w:r w:rsidR="00CF139C">
              <w:t>94</w:t>
            </w:r>
          </w:p>
        </w:tc>
        <w:tc>
          <w:tcPr>
            <w:tcW w:w="3686" w:type="dxa"/>
            <w:noWrap/>
          </w:tcPr>
          <w:p w:rsidR="00A6646E" w:rsidRPr="005D55B5" w:rsidRDefault="00A6646E" w:rsidP="00A6646E">
            <w:pPr>
              <w:ind w:left="142"/>
              <w:jc w:val="right"/>
            </w:pPr>
            <w:r w:rsidRPr="005D55B5">
              <w:t>£1,5</w:t>
            </w:r>
            <w:r>
              <w:t>94</w:t>
            </w:r>
          </w:p>
        </w:tc>
      </w:tr>
      <w:tr w:rsidR="00A6646E" w:rsidRPr="00ED10C0" w:rsidTr="00E65C77">
        <w:trPr>
          <w:trHeight w:val="255"/>
        </w:trPr>
        <w:tc>
          <w:tcPr>
            <w:tcW w:w="3119" w:type="dxa"/>
            <w:noWrap/>
            <w:hideMark/>
          </w:tcPr>
          <w:p w:rsidR="00A6646E" w:rsidRPr="00ED10C0" w:rsidRDefault="00A6646E" w:rsidP="00A6646E">
            <w:pPr>
              <w:ind w:left="142"/>
            </w:pPr>
            <w:r w:rsidRPr="00ED10C0">
              <w:t>Total Council Tax Base</w:t>
            </w:r>
          </w:p>
        </w:tc>
        <w:tc>
          <w:tcPr>
            <w:tcW w:w="2409" w:type="dxa"/>
            <w:noWrap/>
            <w:hideMark/>
          </w:tcPr>
          <w:p w:rsidR="00A6646E" w:rsidRPr="00ED10C0" w:rsidRDefault="00A6646E" w:rsidP="00A6646E">
            <w:pPr>
              <w:ind w:left="142"/>
              <w:jc w:val="right"/>
            </w:pPr>
            <w:r w:rsidRPr="005D55B5">
              <w:t>1</w:t>
            </w:r>
            <w:r w:rsidR="00CF139C">
              <w:t>914</w:t>
            </w:r>
          </w:p>
        </w:tc>
        <w:tc>
          <w:tcPr>
            <w:tcW w:w="3686" w:type="dxa"/>
            <w:noWrap/>
          </w:tcPr>
          <w:p w:rsidR="00A6646E" w:rsidRPr="005D55B5" w:rsidRDefault="00A6646E" w:rsidP="00A6646E">
            <w:pPr>
              <w:ind w:left="142"/>
              <w:jc w:val="right"/>
            </w:pPr>
            <w:r w:rsidRPr="005D55B5">
              <w:t>1</w:t>
            </w:r>
            <w:r>
              <w:t>9</w:t>
            </w:r>
            <w:r w:rsidR="00686EDA">
              <w:t>35</w:t>
            </w:r>
          </w:p>
        </w:tc>
      </w:tr>
    </w:tbl>
    <w:p w:rsidR="00034C15" w:rsidRDefault="00034C15" w:rsidP="00D3321E">
      <w:pPr>
        <w:ind w:left="142"/>
      </w:pPr>
      <w:r>
        <w:fldChar w:fldCharType="end"/>
      </w:r>
    </w:p>
    <w:p w:rsidR="00355CBC" w:rsidRDefault="00355CBC" w:rsidP="00D3321E">
      <w:pPr>
        <w:ind w:left="142"/>
      </w:pPr>
    </w:p>
    <w:p w:rsidR="00034C15" w:rsidRDefault="00034C15" w:rsidP="00D3321E">
      <w:pPr>
        <w:ind w:left="142"/>
        <w:rPr>
          <w:b/>
        </w:rPr>
      </w:pPr>
      <w:r>
        <w:rPr>
          <w:b/>
        </w:rPr>
        <w:t>Environment Agency Thames Region</w:t>
      </w:r>
    </w:p>
    <w:p w:rsidR="00034C15" w:rsidRDefault="00034C15" w:rsidP="00355CBC">
      <w:pPr>
        <w:ind w:left="142"/>
      </w:pPr>
      <w:r>
        <w:t>The Environment Agency has powers in respect of flood and coastal erosion risk management for 5200 kilometres of main river and along tidal and sea defences in the area of the Thames Regional Flood and Coastal Committee.</w:t>
      </w:r>
    </w:p>
    <w:p w:rsidR="00034C15" w:rsidRDefault="00034C15" w:rsidP="00D3321E">
      <w:pPr>
        <w:ind w:left="142"/>
        <w:rPr>
          <w:rFonts w:ascii="Times New Roman" w:hAnsi="Times New Roman"/>
          <w:sz w:val="20"/>
          <w:szCs w:val="20"/>
        </w:rPr>
      </w:pPr>
      <w:r>
        <w:fldChar w:fldCharType="begin"/>
      </w:r>
      <w:r>
        <w:instrText xml:space="preserve"> LINK Excel.Sheet.8 "\\\\lbb2000\\lbbdfs\\Users\\exeted01\\Council Tax\\2014-15\\Copy of Environment Agency Levies Final 2013-14 mock 2014-15.xls" Sheet1!R10C1:R15C3 \a \f 5 \h  \* MERGEFORMAT </w:instrText>
      </w:r>
      <w:r>
        <w:fldChar w:fldCharType="separate"/>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09"/>
        <w:gridCol w:w="3686"/>
      </w:tblGrid>
      <w:tr w:rsidR="00034C15" w:rsidRPr="00ED10C0" w:rsidTr="00177D03">
        <w:trPr>
          <w:trHeight w:val="350"/>
        </w:trPr>
        <w:tc>
          <w:tcPr>
            <w:tcW w:w="3119" w:type="dxa"/>
            <w:noWrap/>
            <w:hideMark/>
          </w:tcPr>
          <w:p w:rsidR="00034C15" w:rsidRPr="00ED10C0" w:rsidRDefault="00034C15" w:rsidP="00177D03">
            <w:pPr>
              <w:ind w:left="142"/>
            </w:pPr>
            <w:r w:rsidRPr="00ED10C0">
              <w:t> </w:t>
            </w:r>
          </w:p>
        </w:tc>
        <w:tc>
          <w:tcPr>
            <w:tcW w:w="6095" w:type="dxa"/>
            <w:gridSpan w:val="2"/>
            <w:hideMark/>
          </w:tcPr>
          <w:p w:rsidR="00034C15" w:rsidRPr="00177D03" w:rsidRDefault="00034C15" w:rsidP="00177D03">
            <w:pPr>
              <w:ind w:left="142"/>
              <w:rPr>
                <w:b/>
              </w:rPr>
            </w:pPr>
            <w:r w:rsidRPr="00177D03">
              <w:rPr>
                <w:b/>
              </w:rPr>
              <w:t>Thames Region Flood and Coastal Committee</w:t>
            </w:r>
          </w:p>
        </w:tc>
      </w:tr>
      <w:tr w:rsidR="00A6646E" w:rsidRPr="00ED10C0" w:rsidTr="00177D03">
        <w:trPr>
          <w:trHeight w:val="255"/>
        </w:trPr>
        <w:tc>
          <w:tcPr>
            <w:tcW w:w="3119" w:type="dxa"/>
            <w:noWrap/>
            <w:hideMark/>
          </w:tcPr>
          <w:p w:rsidR="00A6646E" w:rsidRPr="00ED10C0" w:rsidRDefault="00A6646E" w:rsidP="00A6646E">
            <w:pPr>
              <w:ind w:left="142"/>
            </w:pPr>
            <w:r w:rsidRPr="00ED10C0">
              <w:t> </w:t>
            </w:r>
          </w:p>
        </w:tc>
        <w:tc>
          <w:tcPr>
            <w:tcW w:w="2409" w:type="dxa"/>
            <w:hideMark/>
          </w:tcPr>
          <w:p w:rsidR="00A6646E" w:rsidRPr="00ED10C0" w:rsidRDefault="00A6646E" w:rsidP="00A6646E">
            <w:pPr>
              <w:tabs>
                <w:tab w:val="center" w:pos="1167"/>
                <w:tab w:val="right" w:pos="2193"/>
              </w:tabs>
              <w:ind w:left="142"/>
              <w:jc w:val="right"/>
            </w:pPr>
            <w:r>
              <w:t>202</w:t>
            </w:r>
            <w:r w:rsidR="00943129">
              <w:t>3</w:t>
            </w:r>
            <w:r>
              <w:t>/2</w:t>
            </w:r>
            <w:r w:rsidR="00943129">
              <w:t>4</w:t>
            </w:r>
          </w:p>
        </w:tc>
        <w:tc>
          <w:tcPr>
            <w:tcW w:w="3686" w:type="dxa"/>
            <w:hideMark/>
          </w:tcPr>
          <w:p w:rsidR="00A6646E" w:rsidRPr="00ED10C0" w:rsidRDefault="00A6646E" w:rsidP="00A6646E">
            <w:pPr>
              <w:ind w:left="142"/>
              <w:jc w:val="right"/>
            </w:pPr>
            <w:r>
              <w:t>202</w:t>
            </w:r>
            <w:r w:rsidR="00943129">
              <w:t>4</w:t>
            </w:r>
            <w:r>
              <w:t>/2</w:t>
            </w:r>
            <w:r w:rsidR="00943129">
              <w:t>5</w:t>
            </w:r>
          </w:p>
        </w:tc>
      </w:tr>
      <w:tr w:rsidR="00A6646E" w:rsidRPr="00ED10C0" w:rsidTr="00177D03">
        <w:trPr>
          <w:trHeight w:val="255"/>
        </w:trPr>
        <w:tc>
          <w:tcPr>
            <w:tcW w:w="3119" w:type="dxa"/>
            <w:noWrap/>
            <w:hideMark/>
          </w:tcPr>
          <w:p w:rsidR="00A6646E" w:rsidRPr="00ED10C0" w:rsidRDefault="00A6646E" w:rsidP="00A6646E">
            <w:pPr>
              <w:ind w:left="142"/>
            </w:pPr>
            <w:r w:rsidRPr="00ED10C0">
              <w:t> </w:t>
            </w:r>
          </w:p>
        </w:tc>
        <w:tc>
          <w:tcPr>
            <w:tcW w:w="2409" w:type="dxa"/>
            <w:noWrap/>
            <w:hideMark/>
          </w:tcPr>
          <w:p w:rsidR="00A6646E" w:rsidRPr="00ED10C0" w:rsidRDefault="00A6646E" w:rsidP="00A6646E">
            <w:pPr>
              <w:ind w:left="142"/>
              <w:jc w:val="right"/>
            </w:pPr>
            <w:r w:rsidRPr="00ED10C0">
              <w:t>000s</w:t>
            </w:r>
          </w:p>
        </w:tc>
        <w:tc>
          <w:tcPr>
            <w:tcW w:w="3686" w:type="dxa"/>
            <w:noWrap/>
            <w:hideMark/>
          </w:tcPr>
          <w:p w:rsidR="00A6646E" w:rsidRPr="00ED10C0" w:rsidRDefault="00A6646E" w:rsidP="00A6646E">
            <w:pPr>
              <w:ind w:left="142"/>
              <w:jc w:val="right"/>
            </w:pPr>
            <w:r w:rsidRPr="00ED10C0">
              <w:t>000s</w:t>
            </w:r>
          </w:p>
        </w:tc>
      </w:tr>
      <w:tr w:rsidR="00A6646E" w:rsidRPr="00ED10C0" w:rsidTr="00E65C77">
        <w:trPr>
          <w:trHeight w:val="255"/>
        </w:trPr>
        <w:tc>
          <w:tcPr>
            <w:tcW w:w="3119" w:type="dxa"/>
            <w:noWrap/>
            <w:hideMark/>
          </w:tcPr>
          <w:p w:rsidR="00A6646E" w:rsidRPr="00ED10C0" w:rsidRDefault="00A6646E" w:rsidP="00A6646E">
            <w:pPr>
              <w:ind w:left="142"/>
            </w:pPr>
            <w:r w:rsidRPr="00ED10C0">
              <w:t>Gross Expenditure</w:t>
            </w:r>
          </w:p>
        </w:tc>
        <w:tc>
          <w:tcPr>
            <w:tcW w:w="2409" w:type="dxa"/>
            <w:noWrap/>
            <w:hideMark/>
          </w:tcPr>
          <w:p w:rsidR="00A6646E" w:rsidRPr="00ED10C0" w:rsidRDefault="00A6646E" w:rsidP="00A6646E">
            <w:pPr>
              <w:ind w:left="142"/>
              <w:jc w:val="right"/>
            </w:pPr>
            <w:r>
              <w:t>£1</w:t>
            </w:r>
            <w:r w:rsidR="00CF139C">
              <w:t>40</w:t>
            </w:r>
            <w:r>
              <w:t>,</w:t>
            </w:r>
            <w:r w:rsidR="00CF139C">
              <w:t>213</w:t>
            </w:r>
          </w:p>
        </w:tc>
        <w:tc>
          <w:tcPr>
            <w:tcW w:w="3686" w:type="dxa"/>
            <w:noWrap/>
          </w:tcPr>
          <w:p w:rsidR="00A6646E" w:rsidRPr="00ED10C0" w:rsidRDefault="00A6646E" w:rsidP="00A6646E">
            <w:pPr>
              <w:ind w:left="142"/>
              <w:jc w:val="right"/>
            </w:pPr>
            <w:r>
              <w:t>£1</w:t>
            </w:r>
            <w:r w:rsidR="00943129">
              <w:t>57</w:t>
            </w:r>
            <w:r>
              <w:t>,</w:t>
            </w:r>
            <w:r w:rsidR="00943129">
              <w:t>319</w:t>
            </w:r>
          </w:p>
        </w:tc>
      </w:tr>
      <w:tr w:rsidR="00A6646E" w:rsidRPr="00ED10C0" w:rsidTr="00E65C77">
        <w:trPr>
          <w:trHeight w:val="255"/>
        </w:trPr>
        <w:tc>
          <w:tcPr>
            <w:tcW w:w="3119" w:type="dxa"/>
            <w:noWrap/>
            <w:hideMark/>
          </w:tcPr>
          <w:p w:rsidR="00A6646E" w:rsidRPr="00ED10C0" w:rsidRDefault="00A6646E" w:rsidP="00A6646E">
            <w:pPr>
              <w:ind w:left="142"/>
            </w:pPr>
            <w:r w:rsidRPr="00ED10C0">
              <w:t>Levies Raised</w:t>
            </w:r>
          </w:p>
        </w:tc>
        <w:tc>
          <w:tcPr>
            <w:tcW w:w="2409" w:type="dxa"/>
            <w:noWrap/>
            <w:hideMark/>
          </w:tcPr>
          <w:p w:rsidR="00A6646E" w:rsidRPr="00ED10C0" w:rsidRDefault="00A6646E" w:rsidP="00A6646E">
            <w:pPr>
              <w:ind w:left="142"/>
              <w:jc w:val="right"/>
            </w:pPr>
            <w:r>
              <w:t>£12,</w:t>
            </w:r>
            <w:r w:rsidR="00943129">
              <w:t>526</w:t>
            </w:r>
          </w:p>
        </w:tc>
        <w:tc>
          <w:tcPr>
            <w:tcW w:w="3686" w:type="dxa"/>
            <w:noWrap/>
          </w:tcPr>
          <w:p w:rsidR="00A6646E" w:rsidRPr="00ED10C0" w:rsidRDefault="00A6646E" w:rsidP="00A6646E">
            <w:pPr>
              <w:ind w:left="142"/>
              <w:jc w:val="right"/>
            </w:pPr>
            <w:r>
              <w:t>£12,</w:t>
            </w:r>
            <w:r w:rsidR="00943129">
              <w:t>77</w:t>
            </w:r>
            <w:r>
              <w:t>6</w:t>
            </w:r>
          </w:p>
        </w:tc>
      </w:tr>
      <w:tr w:rsidR="00A6646E" w:rsidRPr="00ED10C0" w:rsidTr="00E65C77">
        <w:trPr>
          <w:trHeight w:val="255"/>
        </w:trPr>
        <w:tc>
          <w:tcPr>
            <w:tcW w:w="3119" w:type="dxa"/>
            <w:noWrap/>
            <w:hideMark/>
          </w:tcPr>
          <w:p w:rsidR="00A6646E" w:rsidRPr="00ED10C0" w:rsidRDefault="00A6646E" w:rsidP="00A6646E">
            <w:pPr>
              <w:ind w:left="142"/>
            </w:pPr>
            <w:r w:rsidRPr="00ED10C0">
              <w:t>Total Council Tax Base</w:t>
            </w:r>
          </w:p>
        </w:tc>
        <w:tc>
          <w:tcPr>
            <w:tcW w:w="2409" w:type="dxa"/>
            <w:noWrap/>
            <w:hideMark/>
          </w:tcPr>
          <w:p w:rsidR="00A6646E" w:rsidRPr="00ED10C0" w:rsidRDefault="00A6646E" w:rsidP="00A6646E">
            <w:pPr>
              <w:ind w:left="142"/>
              <w:jc w:val="right"/>
            </w:pPr>
            <w:r>
              <w:t>5,2</w:t>
            </w:r>
            <w:r w:rsidR="00943129">
              <w:t>97</w:t>
            </w:r>
          </w:p>
        </w:tc>
        <w:tc>
          <w:tcPr>
            <w:tcW w:w="3686" w:type="dxa"/>
            <w:noWrap/>
          </w:tcPr>
          <w:p w:rsidR="00A6646E" w:rsidRPr="00ED10C0" w:rsidRDefault="00A6646E" w:rsidP="00A6646E">
            <w:pPr>
              <w:ind w:left="142"/>
              <w:jc w:val="right"/>
            </w:pPr>
            <w:r>
              <w:t>5,</w:t>
            </w:r>
            <w:r w:rsidR="00943129">
              <w:t>365</w:t>
            </w:r>
          </w:p>
        </w:tc>
      </w:tr>
    </w:tbl>
    <w:p w:rsidR="00784CA3" w:rsidRDefault="00034C15" w:rsidP="00D3321E">
      <w:pPr>
        <w:ind w:left="142"/>
      </w:pPr>
      <w:r>
        <w:fldChar w:fldCharType="end"/>
      </w:r>
    </w:p>
    <w:p w:rsidR="00784CA3" w:rsidRDefault="00784CA3" w:rsidP="00D3321E">
      <w:pPr>
        <w:ind w:left="142"/>
      </w:pPr>
    </w:p>
    <w:sectPr w:rsidR="00784CA3" w:rsidSect="00556176">
      <w:footerReference w:type="default" r:id="rId14"/>
      <w:pgSz w:w="11906" w:h="16838" w:code="9"/>
      <w:pgMar w:top="720" w:right="707"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F92" w:rsidRDefault="00F40F92" w:rsidP="00520A27">
      <w:r>
        <w:separator/>
      </w:r>
    </w:p>
  </w:endnote>
  <w:endnote w:type="continuationSeparator" w:id="0">
    <w:p w:rsidR="00F40F92" w:rsidRDefault="00F40F92" w:rsidP="0052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C15" w:rsidRPr="00520A27" w:rsidRDefault="00034C15" w:rsidP="00BF52E1">
    <w:pPr>
      <w:pStyle w:val="Footer"/>
      <w:ind w:left="142"/>
      <w:rPr>
        <w:sz w:val="16"/>
        <w:szCs w:val="16"/>
      </w:rPr>
    </w:pPr>
    <w:r>
      <w:rPr>
        <w:sz w:val="16"/>
        <w:szCs w:val="16"/>
      </w:rPr>
      <w:t>London Borough of Bromley 20</w:t>
    </w:r>
    <w:r w:rsidR="00814064">
      <w:rPr>
        <w:sz w:val="16"/>
        <w:szCs w:val="16"/>
      </w:rPr>
      <w:t>2</w:t>
    </w:r>
    <w:r w:rsidR="00453678">
      <w:rPr>
        <w:sz w:val="16"/>
        <w:szCs w:val="16"/>
      </w:rPr>
      <w:t>4</w:t>
    </w:r>
    <w:r>
      <w:rPr>
        <w:sz w:val="16"/>
        <w:szCs w:val="16"/>
      </w:rPr>
      <w:t>/</w:t>
    </w:r>
    <w:r w:rsidR="00814064">
      <w:rPr>
        <w:sz w:val="16"/>
        <w:szCs w:val="16"/>
      </w:rPr>
      <w:t>2</w:t>
    </w:r>
    <w:r w:rsidR="00453678">
      <w:rPr>
        <w:sz w:val="16"/>
        <w:szCs w:val="16"/>
      </w:rPr>
      <w:t>5</w:t>
    </w:r>
    <w:r>
      <w:rPr>
        <w:sz w:val="16"/>
        <w:szCs w:val="16"/>
      </w:rPr>
      <w:tab/>
    </w:r>
    <w:r>
      <w:rPr>
        <w:sz w:val="16"/>
        <w:szCs w:val="16"/>
      </w:rPr>
      <w:tab/>
    </w:r>
    <w:r>
      <w:rPr>
        <w:sz w:val="16"/>
        <w:szCs w:val="16"/>
      </w:rPr>
      <w:tab/>
    </w:r>
    <w:r w:rsidRPr="00520A27">
      <w:rPr>
        <w:sz w:val="16"/>
        <w:szCs w:val="16"/>
      </w:rPr>
      <w:t xml:space="preserve">Page </w:t>
    </w:r>
    <w:r w:rsidRPr="00520A27">
      <w:rPr>
        <w:b/>
        <w:bCs/>
        <w:sz w:val="16"/>
        <w:szCs w:val="16"/>
      </w:rPr>
      <w:fldChar w:fldCharType="begin"/>
    </w:r>
    <w:r w:rsidRPr="00520A27">
      <w:rPr>
        <w:b/>
        <w:bCs/>
        <w:sz w:val="16"/>
        <w:szCs w:val="16"/>
      </w:rPr>
      <w:instrText xml:space="preserve"> PAGE </w:instrText>
    </w:r>
    <w:r w:rsidRPr="00520A27">
      <w:rPr>
        <w:b/>
        <w:bCs/>
        <w:sz w:val="16"/>
        <w:szCs w:val="16"/>
      </w:rPr>
      <w:fldChar w:fldCharType="separate"/>
    </w:r>
    <w:r w:rsidR="0065565A">
      <w:rPr>
        <w:b/>
        <w:bCs/>
        <w:noProof/>
        <w:sz w:val="16"/>
        <w:szCs w:val="16"/>
      </w:rPr>
      <w:t>1</w:t>
    </w:r>
    <w:r w:rsidRPr="00520A27">
      <w:rPr>
        <w:b/>
        <w:bCs/>
        <w:sz w:val="16"/>
        <w:szCs w:val="16"/>
      </w:rPr>
      <w:fldChar w:fldCharType="end"/>
    </w:r>
    <w:r w:rsidRPr="00520A27">
      <w:rPr>
        <w:sz w:val="16"/>
        <w:szCs w:val="16"/>
      </w:rPr>
      <w:t xml:space="preserve"> of </w:t>
    </w:r>
    <w:r w:rsidRPr="00520A27">
      <w:rPr>
        <w:b/>
        <w:bCs/>
        <w:sz w:val="16"/>
        <w:szCs w:val="16"/>
      </w:rPr>
      <w:fldChar w:fldCharType="begin"/>
    </w:r>
    <w:r w:rsidRPr="00520A27">
      <w:rPr>
        <w:b/>
        <w:bCs/>
        <w:sz w:val="16"/>
        <w:szCs w:val="16"/>
      </w:rPr>
      <w:instrText xml:space="preserve"> NUMPAGES  </w:instrText>
    </w:r>
    <w:r w:rsidRPr="00520A27">
      <w:rPr>
        <w:b/>
        <w:bCs/>
        <w:sz w:val="16"/>
        <w:szCs w:val="16"/>
      </w:rPr>
      <w:fldChar w:fldCharType="separate"/>
    </w:r>
    <w:r w:rsidR="0065565A">
      <w:rPr>
        <w:b/>
        <w:bCs/>
        <w:noProof/>
        <w:sz w:val="16"/>
        <w:szCs w:val="16"/>
      </w:rPr>
      <w:t>4</w:t>
    </w:r>
    <w:r w:rsidRPr="00520A27">
      <w:rPr>
        <w:b/>
        <w:bCs/>
        <w:sz w:val="16"/>
        <w:szCs w:val="16"/>
      </w:rPr>
      <w:fldChar w:fldCharType="end"/>
    </w:r>
  </w:p>
  <w:p w:rsidR="00034C15" w:rsidRDefault="00034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F92" w:rsidRDefault="00F40F92" w:rsidP="00520A27">
      <w:r>
        <w:separator/>
      </w:r>
    </w:p>
  </w:footnote>
  <w:footnote w:type="continuationSeparator" w:id="0">
    <w:p w:rsidR="00F40F92" w:rsidRDefault="00F40F92" w:rsidP="0052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F4"/>
    <w:rsid w:val="00024899"/>
    <w:rsid w:val="0003004C"/>
    <w:rsid w:val="00031640"/>
    <w:rsid w:val="0003336D"/>
    <w:rsid w:val="00034C15"/>
    <w:rsid w:val="00036302"/>
    <w:rsid w:val="000436CA"/>
    <w:rsid w:val="00052D64"/>
    <w:rsid w:val="00071D45"/>
    <w:rsid w:val="0007404E"/>
    <w:rsid w:val="000778F0"/>
    <w:rsid w:val="00083036"/>
    <w:rsid w:val="00092EA8"/>
    <w:rsid w:val="00094BED"/>
    <w:rsid w:val="000A1A5E"/>
    <w:rsid w:val="000A563E"/>
    <w:rsid w:val="000C21C3"/>
    <w:rsid w:val="000C5D18"/>
    <w:rsid w:val="000C6470"/>
    <w:rsid w:val="000D6436"/>
    <w:rsid w:val="000E207C"/>
    <w:rsid w:val="00102CF5"/>
    <w:rsid w:val="00103E05"/>
    <w:rsid w:val="00103F9A"/>
    <w:rsid w:val="001141F5"/>
    <w:rsid w:val="001253D0"/>
    <w:rsid w:val="001428CB"/>
    <w:rsid w:val="00150EFD"/>
    <w:rsid w:val="001538CC"/>
    <w:rsid w:val="00164D1D"/>
    <w:rsid w:val="001701AB"/>
    <w:rsid w:val="00177D03"/>
    <w:rsid w:val="00185916"/>
    <w:rsid w:val="001946F9"/>
    <w:rsid w:val="00196331"/>
    <w:rsid w:val="0019750F"/>
    <w:rsid w:val="001A1159"/>
    <w:rsid w:val="001A173B"/>
    <w:rsid w:val="001D2533"/>
    <w:rsid w:val="001D56DB"/>
    <w:rsid w:val="001D7231"/>
    <w:rsid w:val="001E1EA3"/>
    <w:rsid w:val="001E4179"/>
    <w:rsid w:val="001E640A"/>
    <w:rsid w:val="001F1836"/>
    <w:rsid w:val="002009A2"/>
    <w:rsid w:val="002100B6"/>
    <w:rsid w:val="00211607"/>
    <w:rsid w:val="002141BE"/>
    <w:rsid w:val="002205AF"/>
    <w:rsid w:val="0022668A"/>
    <w:rsid w:val="00235D34"/>
    <w:rsid w:val="002376DE"/>
    <w:rsid w:val="00245F0B"/>
    <w:rsid w:val="002523DD"/>
    <w:rsid w:val="00255A35"/>
    <w:rsid w:val="00255C24"/>
    <w:rsid w:val="0025678E"/>
    <w:rsid w:val="002579D2"/>
    <w:rsid w:val="002657F0"/>
    <w:rsid w:val="00283EBF"/>
    <w:rsid w:val="00284741"/>
    <w:rsid w:val="00292EA7"/>
    <w:rsid w:val="002B619C"/>
    <w:rsid w:val="002E5F26"/>
    <w:rsid w:val="002F5A85"/>
    <w:rsid w:val="00303FE0"/>
    <w:rsid w:val="00310F60"/>
    <w:rsid w:val="00312999"/>
    <w:rsid w:val="00313737"/>
    <w:rsid w:val="00320386"/>
    <w:rsid w:val="00321AAF"/>
    <w:rsid w:val="003227C7"/>
    <w:rsid w:val="003413D4"/>
    <w:rsid w:val="00342EB3"/>
    <w:rsid w:val="00355CBC"/>
    <w:rsid w:val="00380AF4"/>
    <w:rsid w:val="00396FDB"/>
    <w:rsid w:val="003B7A41"/>
    <w:rsid w:val="003D3699"/>
    <w:rsid w:val="003D37A1"/>
    <w:rsid w:val="003E698E"/>
    <w:rsid w:val="00403649"/>
    <w:rsid w:val="00403C60"/>
    <w:rsid w:val="00415358"/>
    <w:rsid w:val="00416C26"/>
    <w:rsid w:val="00434944"/>
    <w:rsid w:val="0043504F"/>
    <w:rsid w:val="00440AFE"/>
    <w:rsid w:val="00441CC1"/>
    <w:rsid w:val="00453678"/>
    <w:rsid w:val="00483F1E"/>
    <w:rsid w:val="004845BD"/>
    <w:rsid w:val="00491BFD"/>
    <w:rsid w:val="00493BC9"/>
    <w:rsid w:val="00494E06"/>
    <w:rsid w:val="004B550E"/>
    <w:rsid w:val="004B7B34"/>
    <w:rsid w:val="004D52A1"/>
    <w:rsid w:val="004E3EE7"/>
    <w:rsid w:val="004E6642"/>
    <w:rsid w:val="004F3828"/>
    <w:rsid w:val="004F3D75"/>
    <w:rsid w:val="005005C3"/>
    <w:rsid w:val="00500F2D"/>
    <w:rsid w:val="0050129E"/>
    <w:rsid w:val="005066DE"/>
    <w:rsid w:val="00514493"/>
    <w:rsid w:val="00514D56"/>
    <w:rsid w:val="00520A27"/>
    <w:rsid w:val="00527C96"/>
    <w:rsid w:val="0053741E"/>
    <w:rsid w:val="00554B98"/>
    <w:rsid w:val="00556176"/>
    <w:rsid w:val="00560679"/>
    <w:rsid w:val="005653FA"/>
    <w:rsid w:val="00572953"/>
    <w:rsid w:val="0057496F"/>
    <w:rsid w:val="00576D49"/>
    <w:rsid w:val="005808D0"/>
    <w:rsid w:val="00583787"/>
    <w:rsid w:val="005B380D"/>
    <w:rsid w:val="005C161F"/>
    <w:rsid w:val="005C212B"/>
    <w:rsid w:val="005C5AB1"/>
    <w:rsid w:val="005D1ACD"/>
    <w:rsid w:val="005D55B5"/>
    <w:rsid w:val="005E34D4"/>
    <w:rsid w:val="005E4114"/>
    <w:rsid w:val="005E4173"/>
    <w:rsid w:val="005F4126"/>
    <w:rsid w:val="005F4635"/>
    <w:rsid w:val="00602921"/>
    <w:rsid w:val="0060621E"/>
    <w:rsid w:val="00611BC9"/>
    <w:rsid w:val="00634828"/>
    <w:rsid w:val="00641E35"/>
    <w:rsid w:val="0065565A"/>
    <w:rsid w:val="0066275C"/>
    <w:rsid w:val="00662D72"/>
    <w:rsid w:val="0068148F"/>
    <w:rsid w:val="00683116"/>
    <w:rsid w:val="00686EDA"/>
    <w:rsid w:val="006D556C"/>
    <w:rsid w:val="006E4A5F"/>
    <w:rsid w:val="007020FE"/>
    <w:rsid w:val="00702D68"/>
    <w:rsid w:val="00703C38"/>
    <w:rsid w:val="00704751"/>
    <w:rsid w:val="00706E68"/>
    <w:rsid w:val="0071770D"/>
    <w:rsid w:val="00717FD4"/>
    <w:rsid w:val="00721202"/>
    <w:rsid w:val="007218E2"/>
    <w:rsid w:val="00723FBA"/>
    <w:rsid w:val="0072421F"/>
    <w:rsid w:val="00724889"/>
    <w:rsid w:val="00732518"/>
    <w:rsid w:val="0073373F"/>
    <w:rsid w:val="00740DFA"/>
    <w:rsid w:val="007517D4"/>
    <w:rsid w:val="00751E82"/>
    <w:rsid w:val="00756E6A"/>
    <w:rsid w:val="0077705E"/>
    <w:rsid w:val="00784524"/>
    <w:rsid w:val="00784682"/>
    <w:rsid w:val="00784CA3"/>
    <w:rsid w:val="00785868"/>
    <w:rsid w:val="0079485E"/>
    <w:rsid w:val="00795C05"/>
    <w:rsid w:val="00797D17"/>
    <w:rsid w:val="007A02CD"/>
    <w:rsid w:val="007A5B47"/>
    <w:rsid w:val="007B2FCC"/>
    <w:rsid w:val="007B5308"/>
    <w:rsid w:val="007B70F9"/>
    <w:rsid w:val="007C17AF"/>
    <w:rsid w:val="007C470B"/>
    <w:rsid w:val="007C586F"/>
    <w:rsid w:val="007D6341"/>
    <w:rsid w:val="007E3374"/>
    <w:rsid w:val="007E385F"/>
    <w:rsid w:val="007F59C7"/>
    <w:rsid w:val="00801232"/>
    <w:rsid w:val="00803A52"/>
    <w:rsid w:val="00805E33"/>
    <w:rsid w:val="00814064"/>
    <w:rsid w:val="008202A0"/>
    <w:rsid w:val="00822107"/>
    <w:rsid w:val="008266D2"/>
    <w:rsid w:val="008330E8"/>
    <w:rsid w:val="00835E9B"/>
    <w:rsid w:val="008451C1"/>
    <w:rsid w:val="00847014"/>
    <w:rsid w:val="00852C91"/>
    <w:rsid w:val="00856AEA"/>
    <w:rsid w:val="00866F90"/>
    <w:rsid w:val="00876057"/>
    <w:rsid w:val="00880B95"/>
    <w:rsid w:val="00885DF3"/>
    <w:rsid w:val="008A0302"/>
    <w:rsid w:val="008E3FE8"/>
    <w:rsid w:val="008E6733"/>
    <w:rsid w:val="008E7759"/>
    <w:rsid w:val="008F1DBD"/>
    <w:rsid w:val="00906A34"/>
    <w:rsid w:val="00911970"/>
    <w:rsid w:val="00915341"/>
    <w:rsid w:val="00937720"/>
    <w:rsid w:val="00940686"/>
    <w:rsid w:val="00943129"/>
    <w:rsid w:val="0094396C"/>
    <w:rsid w:val="009455A6"/>
    <w:rsid w:val="0094672E"/>
    <w:rsid w:val="00946926"/>
    <w:rsid w:val="0095118B"/>
    <w:rsid w:val="00954E7E"/>
    <w:rsid w:val="00956247"/>
    <w:rsid w:val="009570BE"/>
    <w:rsid w:val="009716EE"/>
    <w:rsid w:val="00971D7D"/>
    <w:rsid w:val="009725E5"/>
    <w:rsid w:val="00981057"/>
    <w:rsid w:val="009A5896"/>
    <w:rsid w:val="009B4040"/>
    <w:rsid w:val="009D2A2F"/>
    <w:rsid w:val="009D73D3"/>
    <w:rsid w:val="00A0337E"/>
    <w:rsid w:val="00A04C8E"/>
    <w:rsid w:val="00A050AE"/>
    <w:rsid w:val="00A14808"/>
    <w:rsid w:val="00A21878"/>
    <w:rsid w:val="00A221D6"/>
    <w:rsid w:val="00A42739"/>
    <w:rsid w:val="00A45037"/>
    <w:rsid w:val="00A45ED5"/>
    <w:rsid w:val="00A55041"/>
    <w:rsid w:val="00A6646E"/>
    <w:rsid w:val="00A67D41"/>
    <w:rsid w:val="00A70089"/>
    <w:rsid w:val="00AA03F8"/>
    <w:rsid w:val="00AA05EF"/>
    <w:rsid w:val="00AA1988"/>
    <w:rsid w:val="00AA5041"/>
    <w:rsid w:val="00AB0CC9"/>
    <w:rsid w:val="00AB36F5"/>
    <w:rsid w:val="00AE337E"/>
    <w:rsid w:val="00AF3A81"/>
    <w:rsid w:val="00AF79CE"/>
    <w:rsid w:val="00B10DB6"/>
    <w:rsid w:val="00B24446"/>
    <w:rsid w:val="00B24CBE"/>
    <w:rsid w:val="00B32C4B"/>
    <w:rsid w:val="00B42E3E"/>
    <w:rsid w:val="00B60E27"/>
    <w:rsid w:val="00B620C6"/>
    <w:rsid w:val="00B64928"/>
    <w:rsid w:val="00B66830"/>
    <w:rsid w:val="00B72740"/>
    <w:rsid w:val="00B73FE4"/>
    <w:rsid w:val="00B82CDD"/>
    <w:rsid w:val="00B9708F"/>
    <w:rsid w:val="00BA72A8"/>
    <w:rsid w:val="00BC1A90"/>
    <w:rsid w:val="00BC6F46"/>
    <w:rsid w:val="00BC73C8"/>
    <w:rsid w:val="00BD2300"/>
    <w:rsid w:val="00BD583B"/>
    <w:rsid w:val="00BE1FE7"/>
    <w:rsid w:val="00BE3D42"/>
    <w:rsid w:val="00BE3FEA"/>
    <w:rsid w:val="00BE45E6"/>
    <w:rsid w:val="00BF2B87"/>
    <w:rsid w:val="00BF52E1"/>
    <w:rsid w:val="00C07889"/>
    <w:rsid w:val="00C11B12"/>
    <w:rsid w:val="00C273B1"/>
    <w:rsid w:val="00C32651"/>
    <w:rsid w:val="00C56FD3"/>
    <w:rsid w:val="00C76D2D"/>
    <w:rsid w:val="00C84D9E"/>
    <w:rsid w:val="00C84FBB"/>
    <w:rsid w:val="00C97952"/>
    <w:rsid w:val="00CA7749"/>
    <w:rsid w:val="00CB5685"/>
    <w:rsid w:val="00CC02CA"/>
    <w:rsid w:val="00CC4F25"/>
    <w:rsid w:val="00CD69A8"/>
    <w:rsid w:val="00CE12CB"/>
    <w:rsid w:val="00CE2E7D"/>
    <w:rsid w:val="00CE6052"/>
    <w:rsid w:val="00CE711E"/>
    <w:rsid w:val="00CE742F"/>
    <w:rsid w:val="00CF139C"/>
    <w:rsid w:val="00D02BDC"/>
    <w:rsid w:val="00D038F6"/>
    <w:rsid w:val="00D04203"/>
    <w:rsid w:val="00D06C26"/>
    <w:rsid w:val="00D1058D"/>
    <w:rsid w:val="00D14FB0"/>
    <w:rsid w:val="00D17853"/>
    <w:rsid w:val="00D229DF"/>
    <w:rsid w:val="00D2521D"/>
    <w:rsid w:val="00D3321E"/>
    <w:rsid w:val="00D3456F"/>
    <w:rsid w:val="00D3550A"/>
    <w:rsid w:val="00D366EF"/>
    <w:rsid w:val="00D36E6C"/>
    <w:rsid w:val="00D53167"/>
    <w:rsid w:val="00D60C0D"/>
    <w:rsid w:val="00D613CF"/>
    <w:rsid w:val="00D713A4"/>
    <w:rsid w:val="00D870BA"/>
    <w:rsid w:val="00D927BB"/>
    <w:rsid w:val="00D9544D"/>
    <w:rsid w:val="00D978F1"/>
    <w:rsid w:val="00DA0671"/>
    <w:rsid w:val="00DA199F"/>
    <w:rsid w:val="00DB0D90"/>
    <w:rsid w:val="00DB55B6"/>
    <w:rsid w:val="00DD6AA1"/>
    <w:rsid w:val="00DE124D"/>
    <w:rsid w:val="00DE13D4"/>
    <w:rsid w:val="00DE3BB0"/>
    <w:rsid w:val="00DE78D7"/>
    <w:rsid w:val="00E15010"/>
    <w:rsid w:val="00E20FB3"/>
    <w:rsid w:val="00E25EE3"/>
    <w:rsid w:val="00E31A41"/>
    <w:rsid w:val="00E33833"/>
    <w:rsid w:val="00E37AE6"/>
    <w:rsid w:val="00E4796B"/>
    <w:rsid w:val="00E56BA1"/>
    <w:rsid w:val="00E57C31"/>
    <w:rsid w:val="00E63B47"/>
    <w:rsid w:val="00E65C77"/>
    <w:rsid w:val="00E65F38"/>
    <w:rsid w:val="00E71995"/>
    <w:rsid w:val="00E92181"/>
    <w:rsid w:val="00E94045"/>
    <w:rsid w:val="00E97C14"/>
    <w:rsid w:val="00EA0368"/>
    <w:rsid w:val="00EB4596"/>
    <w:rsid w:val="00EC71D2"/>
    <w:rsid w:val="00ED10C0"/>
    <w:rsid w:val="00ED42E5"/>
    <w:rsid w:val="00ED51EA"/>
    <w:rsid w:val="00ED7196"/>
    <w:rsid w:val="00EE1ED5"/>
    <w:rsid w:val="00EE34F6"/>
    <w:rsid w:val="00EF1A19"/>
    <w:rsid w:val="00EF2DD3"/>
    <w:rsid w:val="00F22413"/>
    <w:rsid w:val="00F25DC3"/>
    <w:rsid w:val="00F274BC"/>
    <w:rsid w:val="00F31D5D"/>
    <w:rsid w:val="00F4079A"/>
    <w:rsid w:val="00F40F92"/>
    <w:rsid w:val="00F51404"/>
    <w:rsid w:val="00F53B1B"/>
    <w:rsid w:val="00F53BFE"/>
    <w:rsid w:val="00F55391"/>
    <w:rsid w:val="00F66C5C"/>
    <w:rsid w:val="00F67486"/>
    <w:rsid w:val="00F677AF"/>
    <w:rsid w:val="00F808DC"/>
    <w:rsid w:val="00F80E77"/>
    <w:rsid w:val="00F91EFA"/>
    <w:rsid w:val="00F940B3"/>
    <w:rsid w:val="00FA3582"/>
    <w:rsid w:val="00FB52E7"/>
    <w:rsid w:val="00FC634B"/>
    <w:rsid w:val="00FE24D5"/>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efaultImageDpi w14:val="0"/>
  <w15:chartTrackingRefBased/>
  <w15:docId w15:val="{21EE3D7F-7A9D-40A6-971A-AC907B5B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Hyperlink" w:uiPriority="99"/>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247"/>
    <w:rPr>
      <w:rFonts w:ascii="Arial" w:hAnsi="Arial"/>
      <w:sz w:val="24"/>
      <w:szCs w:val="24"/>
    </w:rPr>
  </w:style>
  <w:style w:type="paragraph" w:styleId="Heading1">
    <w:name w:val="heading 1"/>
    <w:basedOn w:val="Normal"/>
    <w:next w:val="Normal"/>
    <w:link w:val="Heading1Char"/>
    <w:uiPriority w:val="9"/>
    <w:qFormat/>
    <w:rsid w:val="00956247"/>
    <w:pPr>
      <w:keepNext/>
      <w:keepLines/>
      <w:spacing w:before="480"/>
      <w:outlineLvl w:val="0"/>
    </w:pPr>
    <w:rPr>
      <w:b/>
      <w:bCs/>
      <w:sz w:val="32"/>
      <w:szCs w:val="28"/>
    </w:rPr>
  </w:style>
  <w:style w:type="paragraph" w:styleId="Heading2">
    <w:name w:val="heading 2"/>
    <w:basedOn w:val="Normal"/>
    <w:next w:val="Normal"/>
    <w:link w:val="Heading2Char"/>
    <w:uiPriority w:val="9"/>
    <w:unhideWhenUsed/>
    <w:qFormat/>
    <w:rsid w:val="00956247"/>
    <w:pPr>
      <w:keepNext/>
      <w:keepLines/>
      <w:spacing w:before="200"/>
      <w:outlineLvl w:val="1"/>
    </w:pPr>
    <w:rPr>
      <w:b/>
      <w:bCs/>
      <w:sz w:val="28"/>
      <w:szCs w:val="26"/>
    </w:rPr>
  </w:style>
  <w:style w:type="paragraph" w:styleId="Heading3">
    <w:name w:val="heading 3"/>
    <w:basedOn w:val="Normal"/>
    <w:next w:val="Normal"/>
    <w:link w:val="Heading3Char"/>
    <w:uiPriority w:val="9"/>
    <w:unhideWhenUsed/>
    <w:qFormat/>
    <w:rsid w:val="00956247"/>
    <w:pPr>
      <w:keepNext/>
      <w:keepLines/>
      <w:spacing w:before="20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56247"/>
    <w:rPr>
      <w:rFonts w:ascii="Arial" w:hAnsi="Arial"/>
      <w:b/>
      <w:sz w:val="28"/>
    </w:rPr>
  </w:style>
  <w:style w:type="character" w:customStyle="1" w:styleId="Heading2Char">
    <w:name w:val="Heading 2 Char"/>
    <w:link w:val="Heading2"/>
    <w:uiPriority w:val="9"/>
    <w:locked/>
    <w:rsid w:val="00956247"/>
    <w:rPr>
      <w:rFonts w:ascii="Arial" w:hAnsi="Arial"/>
      <w:b/>
      <w:sz w:val="26"/>
    </w:rPr>
  </w:style>
  <w:style w:type="character" w:customStyle="1" w:styleId="Heading3Char">
    <w:name w:val="Heading 3 Char"/>
    <w:link w:val="Heading3"/>
    <w:uiPriority w:val="9"/>
    <w:locked/>
    <w:rsid w:val="00956247"/>
    <w:rPr>
      <w:rFonts w:ascii="Arial" w:hAnsi="Arial"/>
      <w:b/>
      <w:sz w:val="24"/>
    </w:rPr>
  </w:style>
  <w:style w:type="paragraph" w:styleId="Title">
    <w:name w:val="Title"/>
    <w:basedOn w:val="Normal"/>
    <w:next w:val="Normal"/>
    <w:link w:val="TitleChar"/>
    <w:uiPriority w:val="10"/>
    <w:qFormat/>
    <w:rsid w:val="00956247"/>
    <w:pPr>
      <w:pBdr>
        <w:bottom w:val="single" w:sz="8" w:space="4" w:color="4F81BD"/>
      </w:pBdr>
      <w:spacing w:after="300"/>
      <w:contextualSpacing/>
      <w:jc w:val="center"/>
    </w:pPr>
    <w:rPr>
      <w:b/>
      <w:color w:val="17365D"/>
      <w:spacing w:val="5"/>
      <w:kern w:val="28"/>
      <w:sz w:val="32"/>
      <w:szCs w:val="52"/>
    </w:rPr>
  </w:style>
  <w:style w:type="character" w:customStyle="1" w:styleId="TitleChar">
    <w:name w:val="Title Char"/>
    <w:link w:val="Title"/>
    <w:uiPriority w:val="10"/>
    <w:locked/>
    <w:rsid w:val="00956247"/>
    <w:rPr>
      <w:rFonts w:ascii="Arial" w:hAnsi="Arial"/>
      <w:b/>
      <w:color w:val="17365D"/>
      <w:spacing w:val="5"/>
      <w:kern w:val="28"/>
      <w:sz w:val="52"/>
    </w:rPr>
  </w:style>
  <w:style w:type="character" w:styleId="Emphasis">
    <w:name w:val="Emphasis"/>
    <w:uiPriority w:val="20"/>
    <w:qFormat/>
    <w:rsid w:val="00956247"/>
    <w:rPr>
      <w:rFonts w:ascii="Arial" w:hAnsi="Arial"/>
      <w:b/>
    </w:rPr>
  </w:style>
  <w:style w:type="paragraph" w:styleId="BalloonText">
    <w:name w:val="Balloon Text"/>
    <w:basedOn w:val="Normal"/>
    <w:link w:val="BalloonTextChar"/>
    <w:uiPriority w:val="99"/>
    <w:rsid w:val="00380AF4"/>
    <w:rPr>
      <w:rFonts w:ascii="Tahoma" w:hAnsi="Tahoma" w:cs="Tahoma"/>
      <w:sz w:val="16"/>
      <w:szCs w:val="16"/>
    </w:rPr>
  </w:style>
  <w:style w:type="character" w:customStyle="1" w:styleId="BalloonTextChar">
    <w:name w:val="Balloon Text Char"/>
    <w:link w:val="BalloonText"/>
    <w:uiPriority w:val="99"/>
    <w:locked/>
    <w:rsid w:val="00380AF4"/>
    <w:rPr>
      <w:rFonts w:ascii="Tahoma" w:hAnsi="Tahoma"/>
      <w:sz w:val="16"/>
    </w:rPr>
  </w:style>
  <w:style w:type="character" w:styleId="Hyperlink">
    <w:name w:val="Hyperlink"/>
    <w:uiPriority w:val="99"/>
    <w:rsid w:val="00B9708F"/>
    <w:rPr>
      <w:color w:val="0000FF"/>
      <w:u w:val="single"/>
    </w:rPr>
  </w:style>
  <w:style w:type="table" w:styleId="TableGrid">
    <w:name w:val="Table Grid"/>
    <w:basedOn w:val="TableNormal"/>
    <w:uiPriority w:val="59"/>
    <w:rsid w:val="00B9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C5AB1"/>
    <w:pPr>
      <w:spacing w:line="276" w:lineRule="auto"/>
      <w:outlineLvl w:val="9"/>
    </w:pPr>
    <w:rPr>
      <w:rFonts w:ascii="Cambria" w:hAnsi="Cambria"/>
      <w:color w:val="365F91"/>
      <w:sz w:val="28"/>
      <w:lang w:val="en-US" w:eastAsia="ja-JP"/>
    </w:rPr>
  </w:style>
  <w:style w:type="paragraph" w:styleId="TOC1">
    <w:name w:val="toc 1"/>
    <w:basedOn w:val="Normal"/>
    <w:next w:val="Normal"/>
    <w:autoRedefine/>
    <w:uiPriority w:val="39"/>
    <w:rsid w:val="007E385F"/>
    <w:pPr>
      <w:tabs>
        <w:tab w:val="right" w:leader="dot" w:pos="11187"/>
      </w:tabs>
      <w:spacing w:after="100"/>
    </w:pPr>
    <w:rPr>
      <w:noProof/>
    </w:rPr>
  </w:style>
  <w:style w:type="paragraph" w:styleId="Header">
    <w:name w:val="header"/>
    <w:basedOn w:val="Normal"/>
    <w:link w:val="HeaderChar"/>
    <w:uiPriority w:val="99"/>
    <w:rsid w:val="00520A27"/>
    <w:pPr>
      <w:tabs>
        <w:tab w:val="center" w:pos="4513"/>
        <w:tab w:val="right" w:pos="9026"/>
      </w:tabs>
    </w:pPr>
  </w:style>
  <w:style w:type="character" w:customStyle="1" w:styleId="HeaderChar">
    <w:name w:val="Header Char"/>
    <w:link w:val="Header"/>
    <w:uiPriority w:val="99"/>
    <w:locked/>
    <w:rsid w:val="00520A27"/>
    <w:rPr>
      <w:rFonts w:ascii="Arial" w:hAnsi="Arial"/>
      <w:sz w:val="24"/>
    </w:rPr>
  </w:style>
  <w:style w:type="paragraph" w:styleId="Footer">
    <w:name w:val="footer"/>
    <w:basedOn w:val="Normal"/>
    <w:link w:val="FooterChar"/>
    <w:uiPriority w:val="99"/>
    <w:rsid w:val="00520A27"/>
    <w:pPr>
      <w:tabs>
        <w:tab w:val="center" w:pos="4513"/>
        <w:tab w:val="right" w:pos="9026"/>
      </w:tabs>
    </w:pPr>
  </w:style>
  <w:style w:type="character" w:customStyle="1" w:styleId="FooterChar">
    <w:name w:val="Footer Char"/>
    <w:link w:val="Footer"/>
    <w:uiPriority w:val="99"/>
    <w:locked/>
    <w:rsid w:val="00520A27"/>
    <w:rPr>
      <w:rFonts w:ascii="Arial" w:hAnsi="Arial"/>
      <w:sz w:val="24"/>
    </w:rPr>
  </w:style>
  <w:style w:type="paragraph" w:styleId="ListParagraph">
    <w:name w:val="List Paragraph"/>
    <w:basedOn w:val="Normal"/>
    <w:uiPriority w:val="34"/>
    <w:rsid w:val="00B66830"/>
    <w:pPr>
      <w:ind w:left="720"/>
      <w:contextualSpacing/>
    </w:pPr>
  </w:style>
  <w:style w:type="paragraph" w:styleId="Revision">
    <w:name w:val="Revision"/>
    <w:hidden/>
    <w:uiPriority w:val="99"/>
    <w:semiHidden/>
    <w:rsid w:val="0063482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606">
      <w:bodyDiv w:val="1"/>
      <w:marLeft w:val="0"/>
      <w:marRight w:val="0"/>
      <w:marTop w:val="0"/>
      <w:marBottom w:val="0"/>
      <w:divBdr>
        <w:top w:val="none" w:sz="0" w:space="0" w:color="auto"/>
        <w:left w:val="none" w:sz="0" w:space="0" w:color="auto"/>
        <w:bottom w:val="none" w:sz="0" w:space="0" w:color="auto"/>
        <w:right w:val="none" w:sz="0" w:space="0" w:color="auto"/>
      </w:divBdr>
    </w:div>
    <w:div w:id="15733391">
      <w:bodyDiv w:val="1"/>
      <w:marLeft w:val="0"/>
      <w:marRight w:val="0"/>
      <w:marTop w:val="0"/>
      <w:marBottom w:val="0"/>
      <w:divBdr>
        <w:top w:val="none" w:sz="0" w:space="0" w:color="auto"/>
        <w:left w:val="none" w:sz="0" w:space="0" w:color="auto"/>
        <w:bottom w:val="none" w:sz="0" w:space="0" w:color="auto"/>
        <w:right w:val="none" w:sz="0" w:space="0" w:color="auto"/>
      </w:divBdr>
    </w:div>
    <w:div w:id="75131371">
      <w:bodyDiv w:val="1"/>
      <w:marLeft w:val="0"/>
      <w:marRight w:val="0"/>
      <w:marTop w:val="0"/>
      <w:marBottom w:val="0"/>
      <w:divBdr>
        <w:top w:val="none" w:sz="0" w:space="0" w:color="auto"/>
        <w:left w:val="none" w:sz="0" w:space="0" w:color="auto"/>
        <w:bottom w:val="none" w:sz="0" w:space="0" w:color="auto"/>
        <w:right w:val="none" w:sz="0" w:space="0" w:color="auto"/>
      </w:divBdr>
    </w:div>
    <w:div w:id="100615505">
      <w:bodyDiv w:val="1"/>
      <w:marLeft w:val="0"/>
      <w:marRight w:val="0"/>
      <w:marTop w:val="0"/>
      <w:marBottom w:val="0"/>
      <w:divBdr>
        <w:top w:val="none" w:sz="0" w:space="0" w:color="auto"/>
        <w:left w:val="none" w:sz="0" w:space="0" w:color="auto"/>
        <w:bottom w:val="none" w:sz="0" w:space="0" w:color="auto"/>
        <w:right w:val="none" w:sz="0" w:space="0" w:color="auto"/>
      </w:divBdr>
    </w:div>
    <w:div w:id="117140443">
      <w:bodyDiv w:val="1"/>
      <w:marLeft w:val="0"/>
      <w:marRight w:val="0"/>
      <w:marTop w:val="0"/>
      <w:marBottom w:val="0"/>
      <w:divBdr>
        <w:top w:val="none" w:sz="0" w:space="0" w:color="auto"/>
        <w:left w:val="none" w:sz="0" w:space="0" w:color="auto"/>
        <w:bottom w:val="none" w:sz="0" w:space="0" w:color="auto"/>
        <w:right w:val="none" w:sz="0" w:space="0" w:color="auto"/>
      </w:divBdr>
    </w:div>
    <w:div w:id="121651578">
      <w:bodyDiv w:val="1"/>
      <w:marLeft w:val="0"/>
      <w:marRight w:val="0"/>
      <w:marTop w:val="0"/>
      <w:marBottom w:val="0"/>
      <w:divBdr>
        <w:top w:val="none" w:sz="0" w:space="0" w:color="auto"/>
        <w:left w:val="none" w:sz="0" w:space="0" w:color="auto"/>
        <w:bottom w:val="none" w:sz="0" w:space="0" w:color="auto"/>
        <w:right w:val="none" w:sz="0" w:space="0" w:color="auto"/>
      </w:divBdr>
    </w:div>
    <w:div w:id="136265316">
      <w:bodyDiv w:val="1"/>
      <w:marLeft w:val="0"/>
      <w:marRight w:val="0"/>
      <w:marTop w:val="0"/>
      <w:marBottom w:val="0"/>
      <w:divBdr>
        <w:top w:val="none" w:sz="0" w:space="0" w:color="auto"/>
        <w:left w:val="none" w:sz="0" w:space="0" w:color="auto"/>
        <w:bottom w:val="none" w:sz="0" w:space="0" w:color="auto"/>
        <w:right w:val="none" w:sz="0" w:space="0" w:color="auto"/>
      </w:divBdr>
    </w:div>
    <w:div w:id="207105948">
      <w:bodyDiv w:val="1"/>
      <w:marLeft w:val="0"/>
      <w:marRight w:val="0"/>
      <w:marTop w:val="0"/>
      <w:marBottom w:val="0"/>
      <w:divBdr>
        <w:top w:val="none" w:sz="0" w:space="0" w:color="auto"/>
        <w:left w:val="none" w:sz="0" w:space="0" w:color="auto"/>
        <w:bottom w:val="none" w:sz="0" w:space="0" w:color="auto"/>
        <w:right w:val="none" w:sz="0" w:space="0" w:color="auto"/>
      </w:divBdr>
    </w:div>
    <w:div w:id="428426857">
      <w:bodyDiv w:val="1"/>
      <w:marLeft w:val="0"/>
      <w:marRight w:val="0"/>
      <w:marTop w:val="0"/>
      <w:marBottom w:val="0"/>
      <w:divBdr>
        <w:top w:val="none" w:sz="0" w:space="0" w:color="auto"/>
        <w:left w:val="none" w:sz="0" w:space="0" w:color="auto"/>
        <w:bottom w:val="none" w:sz="0" w:space="0" w:color="auto"/>
        <w:right w:val="none" w:sz="0" w:space="0" w:color="auto"/>
      </w:divBdr>
    </w:div>
    <w:div w:id="435636992">
      <w:bodyDiv w:val="1"/>
      <w:marLeft w:val="0"/>
      <w:marRight w:val="0"/>
      <w:marTop w:val="0"/>
      <w:marBottom w:val="0"/>
      <w:divBdr>
        <w:top w:val="none" w:sz="0" w:space="0" w:color="auto"/>
        <w:left w:val="none" w:sz="0" w:space="0" w:color="auto"/>
        <w:bottom w:val="none" w:sz="0" w:space="0" w:color="auto"/>
        <w:right w:val="none" w:sz="0" w:space="0" w:color="auto"/>
      </w:divBdr>
    </w:div>
    <w:div w:id="577056345">
      <w:bodyDiv w:val="1"/>
      <w:marLeft w:val="0"/>
      <w:marRight w:val="0"/>
      <w:marTop w:val="0"/>
      <w:marBottom w:val="0"/>
      <w:divBdr>
        <w:top w:val="none" w:sz="0" w:space="0" w:color="auto"/>
        <w:left w:val="none" w:sz="0" w:space="0" w:color="auto"/>
        <w:bottom w:val="none" w:sz="0" w:space="0" w:color="auto"/>
        <w:right w:val="none" w:sz="0" w:space="0" w:color="auto"/>
      </w:divBdr>
    </w:div>
    <w:div w:id="594676134">
      <w:bodyDiv w:val="1"/>
      <w:marLeft w:val="0"/>
      <w:marRight w:val="0"/>
      <w:marTop w:val="0"/>
      <w:marBottom w:val="0"/>
      <w:divBdr>
        <w:top w:val="none" w:sz="0" w:space="0" w:color="auto"/>
        <w:left w:val="none" w:sz="0" w:space="0" w:color="auto"/>
        <w:bottom w:val="none" w:sz="0" w:space="0" w:color="auto"/>
        <w:right w:val="none" w:sz="0" w:space="0" w:color="auto"/>
      </w:divBdr>
    </w:div>
    <w:div w:id="710811560">
      <w:bodyDiv w:val="1"/>
      <w:marLeft w:val="0"/>
      <w:marRight w:val="0"/>
      <w:marTop w:val="0"/>
      <w:marBottom w:val="0"/>
      <w:divBdr>
        <w:top w:val="none" w:sz="0" w:space="0" w:color="auto"/>
        <w:left w:val="none" w:sz="0" w:space="0" w:color="auto"/>
        <w:bottom w:val="none" w:sz="0" w:space="0" w:color="auto"/>
        <w:right w:val="none" w:sz="0" w:space="0" w:color="auto"/>
      </w:divBdr>
    </w:div>
    <w:div w:id="847212555">
      <w:bodyDiv w:val="1"/>
      <w:marLeft w:val="0"/>
      <w:marRight w:val="0"/>
      <w:marTop w:val="0"/>
      <w:marBottom w:val="0"/>
      <w:divBdr>
        <w:top w:val="none" w:sz="0" w:space="0" w:color="auto"/>
        <w:left w:val="none" w:sz="0" w:space="0" w:color="auto"/>
        <w:bottom w:val="none" w:sz="0" w:space="0" w:color="auto"/>
        <w:right w:val="none" w:sz="0" w:space="0" w:color="auto"/>
      </w:divBdr>
    </w:div>
    <w:div w:id="1125345561">
      <w:bodyDiv w:val="1"/>
      <w:marLeft w:val="0"/>
      <w:marRight w:val="0"/>
      <w:marTop w:val="0"/>
      <w:marBottom w:val="0"/>
      <w:divBdr>
        <w:top w:val="none" w:sz="0" w:space="0" w:color="auto"/>
        <w:left w:val="none" w:sz="0" w:space="0" w:color="auto"/>
        <w:bottom w:val="none" w:sz="0" w:space="0" w:color="auto"/>
        <w:right w:val="none" w:sz="0" w:space="0" w:color="auto"/>
      </w:divBdr>
    </w:div>
    <w:div w:id="1300766052">
      <w:marLeft w:val="0"/>
      <w:marRight w:val="0"/>
      <w:marTop w:val="0"/>
      <w:marBottom w:val="0"/>
      <w:divBdr>
        <w:top w:val="none" w:sz="0" w:space="0" w:color="auto"/>
        <w:left w:val="none" w:sz="0" w:space="0" w:color="auto"/>
        <w:bottom w:val="none" w:sz="0" w:space="0" w:color="auto"/>
        <w:right w:val="none" w:sz="0" w:space="0" w:color="auto"/>
      </w:divBdr>
    </w:div>
    <w:div w:id="1300766053">
      <w:marLeft w:val="0"/>
      <w:marRight w:val="0"/>
      <w:marTop w:val="0"/>
      <w:marBottom w:val="0"/>
      <w:divBdr>
        <w:top w:val="none" w:sz="0" w:space="0" w:color="auto"/>
        <w:left w:val="none" w:sz="0" w:space="0" w:color="auto"/>
        <w:bottom w:val="none" w:sz="0" w:space="0" w:color="auto"/>
        <w:right w:val="none" w:sz="0" w:space="0" w:color="auto"/>
      </w:divBdr>
    </w:div>
    <w:div w:id="1300766054">
      <w:marLeft w:val="0"/>
      <w:marRight w:val="0"/>
      <w:marTop w:val="0"/>
      <w:marBottom w:val="0"/>
      <w:divBdr>
        <w:top w:val="none" w:sz="0" w:space="0" w:color="auto"/>
        <w:left w:val="none" w:sz="0" w:space="0" w:color="auto"/>
        <w:bottom w:val="none" w:sz="0" w:space="0" w:color="auto"/>
        <w:right w:val="none" w:sz="0" w:space="0" w:color="auto"/>
      </w:divBdr>
    </w:div>
    <w:div w:id="1300766055">
      <w:marLeft w:val="0"/>
      <w:marRight w:val="0"/>
      <w:marTop w:val="0"/>
      <w:marBottom w:val="0"/>
      <w:divBdr>
        <w:top w:val="none" w:sz="0" w:space="0" w:color="auto"/>
        <w:left w:val="none" w:sz="0" w:space="0" w:color="auto"/>
        <w:bottom w:val="none" w:sz="0" w:space="0" w:color="auto"/>
        <w:right w:val="none" w:sz="0" w:space="0" w:color="auto"/>
      </w:divBdr>
    </w:div>
    <w:div w:id="1300766056">
      <w:marLeft w:val="0"/>
      <w:marRight w:val="0"/>
      <w:marTop w:val="0"/>
      <w:marBottom w:val="0"/>
      <w:divBdr>
        <w:top w:val="none" w:sz="0" w:space="0" w:color="auto"/>
        <w:left w:val="none" w:sz="0" w:space="0" w:color="auto"/>
        <w:bottom w:val="none" w:sz="0" w:space="0" w:color="auto"/>
        <w:right w:val="none" w:sz="0" w:space="0" w:color="auto"/>
      </w:divBdr>
    </w:div>
    <w:div w:id="1300766057">
      <w:marLeft w:val="0"/>
      <w:marRight w:val="0"/>
      <w:marTop w:val="0"/>
      <w:marBottom w:val="0"/>
      <w:divBdr>
        <w:top w:val="none" w:sz="0" w:space="0" w:color="auto"/>
        <w:left w:val="none" w:sz="0" w:space="0" w:color="auto"/>
        <w:bottom w:val="none" w:sz="0" w:space="0" w:color="auto"/>
        <w:right w:val="none" w:sz="0" w:space="0" w:color="auto"/>
      </w:divBdr>
    </w:div>
    <w:div w:id="1300766058">
      <w:marLeft w:val="0"/>
      <w:marRight w:val="0"/>
      <w:marTop w:val="0"/>
      <w:marBottom w:val="0"/>
      <w:divBdr>
        <w:top w:val="none" w:sz="0" w:space="0" w:color="auto"/>
        <w:left w:val="none" w:sz="0" w:space="0" w:color="auto"/>
        <w:bottom w:val="none" w:sz="0" w:space="0" w:color="auto"/>
        <w:right w:val="none" w:sz="0" w:space="0" w:color="auto"/>
      </w:divBdr>
    </w:div>
    <w:div w:id="1300766059">
      <w:marLeft w:val="0"/>
      <w:marRight w:val="0"/>
      <w:marTop w:val="0"/>
      <w:marBottom w:val="0"/>
      <w:divBdr>
        <w:top w:val="none" w:sz="0" w:space="0" w:color="auto"/>
        <w:left w:val="none" w:sz="0" w:space="0" w:color="auto"/>
        <w:bottom w:val="none" w:sz="0" w:space="0" w:color="auto"/>
        <w:right w:val="none" w:sz="0" w:space="0" w:color="auto"/>
      </w:divBdr>
    </w:div>
    <w:div w:id="1300766060">
      <w:marLeft w:val="0"/>
      <w:marRight w:val="0"/>
      <w:marTop w:val="0"/>
      <w:marBottom w:val="0"/>
      <w:divBdr>
        <w:top w:val="none" w:sz="0" w:space="0" w:color="auto"/>
        <w:left w:val="none" w:sz="0" w:space="0" w:color="auto"/>
        <w:bottom w:val="none" w:sz="0" w:space="0" w:color="auto"/>
        <w:right w:val="none" w:sz="0" w:space="0" w:color="auto"/>
      </w:divBdr>
    </w:div>
    <w:div w:id="1300766061">
      <w:marLeft w:val="0"/>
      <w:marRight w:val="0"/>
      <w:marTop w:val="0"/>
      <w:marBottom w:val="0"/>
      <w:divBdr>
        <w:top w:val="none" w:sz="0" w:space="0" w:color="auto"/>
        <w:left w:val="none" w:sz="0" w:space="0" w:color="auto"/>
        <w:bottom w:val="none" w:sz="0" w:space="0" w:color="auto"/>
        <w:right w:val="none" w:sz="0" w:space="0" w:color="auto"/>
      </w:divBdr>
    </w:div>
    <w:div w:id="1300766062">
      <w:marLeft w:val="0"/>
      <w:marRight w:val="0"/>
      <w:marTop w:val="0"/>
      <w:marBottom w:val="0"/>
      <w:divBdr>
        <w:top w:val="none" w:sz="0" w:space="0" w:color="auto"/>
        <w:left w:val="none" w:sz="0" w:space="0" w:color="auto"/>
        <w:bottom w:val="none" w:sz="0" w:space="0" w:color="auto"/>
        <w:right w:val="none" w:sz="0" w:space="0" w:color="auto"/>
      </w:divBdr>
    </w:div>
    <w:div w:id="1300766063">
      <w:marLeft w:val="0"/>
      <w:marRight w:val="0"/>
      <w:marTop w:val="0"/>
      <w:marBottom w:val="0"/>
      <w:divBdr>
        <w:top w:val="none" w:sz="0" w:space="0" w:color="auto"/>
        <w:left w:val="none" w:sz="0" w:space="0" w:color="auto"/>
        <w:bottom w:val="none" w:sz="0" w:space="0" w:color="auto"/>
        <w:right w:val="none" w:sz="0" w:space="0" w:color="auto"/>
      </w:divBdr>
    </w:div>
    <w:div w:id="1300766064">
      <w:marLeft w:val="0"/>
      <w:marRight w:val="0"/>
      <w:marTop w:val="0"/>
      <w:marBottom w:val="0"/>
      <w:divBdr>
        <w:top w:val="none" w:sz="0" w:space="0" w:color="auto"/>
        <w:left w:val="none" w:sz="0" w:space="0" w:color="auto"/>
        <w:bottom w:val="none" w:sz="0" w:space="0" w:color="auto"/>
        <w:right w:val="none" w:sz="0" w:space="0" w:color="auto"/>
      </w:divBdr>
    </w:div>
    <w:div w:id="1300766065">
      <w:marLeft w:val="0"/>
      <w:marRight w:val="0"/>
      <w:marTop w:val="0"/>
      <w:marBottom w:val="0"/>
      <w:divBdr>
        <w:top w:val="none" w:sz="0" w:space="0" w:color="auto"/>
        <w:left w:val="none" w:sz="0" w:space="0" w:color="auto"/>
        <w:bottom w:val="none" w:sz="0" w:space="0" w:color="auto"/>
        <w:right w:val="none" w:sz="0" w:space="0" w:color="auto"/>
      </w:divBdr>
    </w:div>
    <w:div w:id="1300766066">
      <w:marLeft w:val="0"/>
      <w:marRight w:val="0"/>
      <w:marTop w:val="0"/>
      <w:marBottom w:val="0"/>
      <w:divBdr>
        <w:top w:val="none" w:sz="0" w:space="0" w:color="auto"/>
        <w:left w:val="none" w:sz="0" w:space="0" w:color="auto"/>
        <w:bottom w:val="none" w:sz="0" w:space="0" w:color="auto"/>
        <w:right w:val="none" w:sz="0" w:space="0" w:color="auto"/>
      </w:divBdr>
    </w:div>
    <w:div w:id="1300766067">
      <w:marLeft w:val="0"/>
      <w:marRight w:val="0"/>
      <w:marTop w:val="0"/>
      <w:marBottom w:val="0"/>
      <w:divBdr>
        <w:top w:val="none" w:sz="0" w:space="0" w:color="auto"/>
        <w:left w:val="none" w:sz="0" w:space="0" w:color="auto"/>
        <w:bottom w:val="none" w:sz="0" w:space="0" w:color="auto"/>
        <w:right w:val="none" w:sz="0" w:space="0" w:color="auto"/>
      </w:divBdr>
    </w:div>
    <w:div w:id="1300766068">
      <w:marLeft w:val="0"/>
      <w:marRight w:val="0"/>
      <w:marTop w:val="0"/>
      <w:marBottom w:val="0"/>
      <w:divBdr>
        <w:top w:val="none" w:sz="0" w:space="0" w:color="auto"/>
        <w:left w:val="none" w:sz="0" w:space="0" w:color="auto"/>
        <w:bottom w:val="none" w:sz="0" w:space="0" w:color="auto"/>
        <w:right w:val="none" w:sz="0" w:space="0" w:color="auto"/>
      </w:divBdr>
    </w:div>
    <w:div w:id="1300766069">
      <w:marLeft w:val="0"/>
      <w:marRight w:val="0"/>
      <w:marTop w:val="0"/>
      <w:marBottom w:val="0"/>
      <w:divBdr>
        <w:top w:val="none" w:sz="0" w:space="0" w:color="auto"/>
        <w:left w:val="none" w:sz="0" w:space="0" w:color="auto"/>
        <w:bottom w:val="none" w:sz="0" w:space="0" w:color="auto"/>
        <w:right w:val="none" w:sz="0" w:space="0" w:color="auto"/>
      </w:divBdr>
    </w:div>
    <w:div w:id="1300766070">
      <w:marLeft w:val="0"/>
      <w:marRight w:val="0"/>
      <w:marTop w:val="0"/>
      <w:marBottom w:val="0"/>
      <w:divBdr>
        <w:top w:val="none" w:sz="0" w:space="0" w:color="auto"/>
        <w:left w:val="none" w:sz="0" w:space="0" w:color="auto"/>
        <w:bottom w:val="none" w:sz="0" w:space="0" w:color="auto"/>
        <w:right w:val="none" w:sz="0" w:space="0" w:color="auto"/>
      </w:divBdr>
    </w:div>
    <w:div w:id="1300766071">
      <w:marLeft w:val="0"/>
      <w:marRight w:val="0"/>
      <w:marTop w:val="0"/>
      <w:marBottom w:val="0"/>
      <w:divBdr>
        <w:top w:val="none" w:sz="0" w:space="0" w:color="auto"/>
        <w:left w:val="none" w:sz="0" w:space="0" w:color="auto"/>
        <w:bottom w:val="none" w:sz="0" w:space="0" w:color="auto"/>
        <w:right w:val="none" w:sz="0" w:space="0" w:color="auto"/>
      </w:divBdr>
    </w:div>
    <w:div w:id="1300766072">
      <w:marLeft w:val="0"/>
      <w:marRight w:val="0"/>
      <w:marTop w:val="0"/>
      <w:marBottom w:val="0"/>
      <w:divBdr>
        <w:top w:val="none" w:sz="0" w:space="0" w:color="auto"/>
        <w:left w:val="none" w:sz="0" w:space="0" w:color="auto"/>
        <w:bottom w:val="none" w:sz="0" w:space="0" w:color="auto"/>
        <w:right w:val="none" w:sz="0" w:space="0" w:color="auto"/>
      </w:divBdr>
    </w:div>
    <w:div w:id="1300766073">
      <w:marLeft w:val="0"/>
      <w:marRight w:val="0"/>
      <w:marTop w:val="0"/>
      <w:marBottom w:val="0"/>
      <w:divBdr>
        <w:top w:val="none" w:sz="0" w:space="0" w:color="auto"/>
        <w:left w:val="none" w:sz="0" w:space="0" w:color="auto"/>
        <w:bottom w:val="none" w:sz="0" w:space="0" w:color="auto"/>
        <w:right w:val="none" w:sz="0" w:space="0" w:color="auto"/>
      </w:divBdr>
    </w:div>
    <w:div w:id="1300766074">
      <w:marLeft w:val="0"/>
      <w:marRight w:val="0"/>
      <w:marTop w:val="0"/>
      <w:marBottom w:val="0"/>
      <w:divBdr>
        <w:top w:val="none" w:sz="0" w:space="0" w:color="auto"/>
        <w:left w:val="none" w:sz="0" w:space="0" w:color="auto"/>
        <w:bottom w:val="none" w:sz="0" w:space="0" w:color="auto"/>
        <w:right w:val="none" w:sz="0" w:space="0" w:color="auto"/>
      </w:divBdr>
    </w:div>
    <w:div w:id="1300766075">
      <w:marLeft w:val="0"/>
      <w:marRight w:val="0"/>
      <w:marTop w:val="0"/>
      <w:marBottom w:val="0"/>
      <w:divBdr>
        <w:top w:val="none" w:sz="0" w:space="0" w:color="auto"/>
        <w:left w:val="none" w:sz="0" w:space="0" w:color="auto"/>
        <w:bottom w:val="none" w:sz="0" w:space="0" w:color="auto"/>
        <w:right w:val="none" w:sz="0" w:space="0" w:color="auto"/>
      </w:divBdr>
    </w:div>
    <w:div w:id="1300766076">
      <w:marLeft w:val="0"/>
      <w:marRight w:val="0"/>
      <w:marTop w:val="0"/>
      <w:marBottom w:val="0"/>
      <w:divBdr>
        <w:top w:val="none" w:sz="0" w:space="0" w:color="auto"/>
        <w:left w:val="none" w:sz="0" w:space="0" w:color="auto"/>
        <w:bottom w:val="none" w:sz="0" w:space="0" w:color="auto"/>
        <w:right w:val="none" w:sz="0" w:space="0" w:color="auto"/>
      </w:divBdr>
    </w:div>
    <w:div w:id="1300766077">
      <w:marLeft w:val="0"/>
      <w:marRight w:val="0"/>
      <w:marTop w:val="0"/>
      <w:marBottom w:val="0"/>
      <w:divBdr>
        <w:top w:val="none" w:sz="0" w:space="0" w:color="auto"/>
        <w:left w:val="none" w:sz="0" w:space="0" w:color="auto"/>
        <w:bottom w:val="none" w:sz="0" w:space="0" w:color="auto"/>
        <w:right w:val="none" w:sz="0" w:space="0" w:color="auto"/>
      </w:divBdr>
    </w:div>
    <w:div w:id="1300766078">
      <w:marLeft w:val="0"/>
      <w:marRight w:val="0"/>
      <w:marTop w:val="0"/>
      <w:marBottom w:val="0"/>
      <w:divBdr>
        <w:top w:val="none" w:sz="0" w:space="0" w:color="auto"/>
        <w:left w:val="none" w:sz="0" w:space="0" w:color="auto"/>
        <w:bottom w:val="none" w:sz="0" w:space="0" w:color="auto"/>
        <w:right w:val="none" w:sz="0" w:space="0" w:color="auto"/>
      </w:divBdr>
    </w:div>
    <w:div w:id="1300766079">
      <w:marLeft w:val="0"/>
      <w:marRight w:val="0"/>
      <w:marTop w:val="0"/>
      <w:marBottom w:val="0"/>
      <w:divBdr>
        <w:top w:val="none" w:sz="0" w:space="0" w:color="auto"/>
        <w:left w:val="none" w:sz="0" w:space="0" w:color="auto"/>
        <w:bottom w:val="none" w:sz="0" w:space="0" w:color="auto"/>
        <w:right w:val="none" w:sz="0" w:space="0" w:color="auto"/>
      </w:divBdr>
    </w:div>
    <w:div w:id="1300766080">
      <w:marLeft w:val="0"/>
      <w:marRight w:val="0"/>
      <w:marTop w:val="0"/>
      <w:marBottom w:val="0"/>
      <w:divBdr>
        <w:top w:val="none" w:sz="0" w:space="0" w:color="auto"/>
        <w:left w:val="none" w:sz="0" w:space="0" w:color="auto"/>
        <w:bottom w:val="none" w:sz="0" w:space="0" w:color="auto"/>
        <w:right w:val="none" w:sz="0" w:space="0" w:color="auto"/>
      </w:divBdr>
    </w:div>
    <w:div w:id="1300766081">
      <w:marLeft w:val="0"/>
      <w:marRight w:val="0"/>
      <w:marTop w:val="0"/>
      <w:marBottom w:val="0"/>
      <w:divBdr>
        <w:top w:val="none" w:sz="0" w:space="0" w:color="auto"/>
        <w:left w:val="none" w:sz="0" w:space="0" w:color="auto"/>
        <w:bottom w:val="none" w:sz="0" w:space="0" w:color="auto"/>
        <w:right w:val="none" w:sz="0" w:space="0" w:color="auto"/>
      </w:divBdr>
    </w:div>
    <w:div w:id="1300766082">
      <w:marLeft w:val="0"/>
      <w:marRight w:val="0"/>
      <w:marTop w:val="0"/>
      <w:marBottom w:val="0"/>
      <w:divBdr>
        <w:top w:val="none" w:sz="0" w:space="0" w:color="auto"/>
        <w:left w:val="none" w:sz="0" w:space="0" w:color="auto"/>
        <w:bottom w:val="none" w:sz="0" w:space="0" w:color="auto"/>
        <w:right w:val="none" w:sz="0" w:space="0" w:color="auto"/>
      </w:divBdr>
    </w:div>
    <w:div w:id="1300766083">
      <w:marLeft w:val="0"/>
      <w:marRight w:val="0"/>
      <w:marTop w:val="0"/>
      <w:marBottom w:val="0"/>
      <w:divBdr>
        <w:top w:val="none" w:sz="0" w:space="0" w:color="auto"/>
        <w:left w:val="none" w:sz="0" w:space="0" w:color="auto"/>
        <w:bottom w:val="none" w:sz="0" w:space="0" w:color="auto"/>
        <w:right w:val="none" w:sz="0" w:space="0" w:color="auto"/>
      </w:divBdr>
    </w:div>
    <w:div w:id="1300766084">
      <w:marLeft w:val="0"/>
      <w:marRight w:val="0"/>
      <w:marTop w:val="0"/>
      <w:marBottom w:val="0"/>
      <w:divBdr>
        <w:top w:val="none" w:sz="0" w:space="0" w:color="auto"/>
        <w:left w:val="none" w:sz="0" w:space="0" w:color="auto"/>
        <w:bottom w:val="none" w:sz="0" w:space="0" w:color="auto"/>
        <w:right w:val="none" w:sz="0" w:space="0" w:color="auto"/>
      </w:divBdr>
    </w:div>
    <w:div w:id="1807703246">
      <w:bodyDiv w:val="1"/>
      <w:marLeft w:val="0"/>
      <w:marRight w:val="0"/>
      <w:marTop w:val="0"/>
      <w:marBottom w:val="0"/>
      <w:divBdr>
        <w:top w:val="none" w:sz="0" w:space="0" w:color="auto"/>
        <w:left w:val="none" w:sz="0" w:space="0" w:color="auto"/>
        <w:bottom w:val="none" w:sz="0" w:space="0" w:color="auto"/>
        <w:right w:val="none" w:sz="0" w:space="0" w:color="auto"/>
      </w:divBdr>
    </w:div>
    <w:div w:id="1831872874">
      <w:bodyDiv w:val="1"/>
      <w:marLeft w:val="0"/>
      <w:marRight w:val="0"/>
      <w:marTop w:val="0"/>
      <w:marBottom w:val="0"/>
      <w:divBdr>
        <w:top w:val="none" w:sz="0" w:space="0" w:color="auto"/>
        <w:left w:val="none" w:sz="0" w:space="0" w:color="auto"/>
        <w:bottom w:val="none" w:sz="0" w:space="0" w:color="auto"/>
        <w:right w:val="none" w:sz="0" w:space="0" w:color="auto"/>
      </w:divBdr>
    </w:div>
    <w:div w:id="1880823814">
      <w:bodyDiv w:val="1"/>
      <w:marLeft w:val="0"/>
      <w:marRight w:val="0"/>
      <w:marTop w:val="0"/>
      <w:marBottom w:val="0"/>
      <w:divBdr>
        <w:top w:val="none" w:sz="0" w:space="0" w:color="auto"/>
        <w:left w:val="none" w:sz="0" w:space="0" w:color="auto"/>
        <w:bottom w:val="none" w:sz="0" w:space="0" w:color="auto"/>
        <w:right w:val="none" w:sz="0" w:space="0" w:color="auto"/>
      </w:divBdr>
    </w:div>
    <w:div w:id="208872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evalleypark.org.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ondoncouncil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pfa.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oa.gov.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1C0F6D47A714D9871F827210E95F8" ma:contentTypeVersion="9" ma:contentTypeDescription="Create a new document." ma:contentTypeScope="" ma:versionID="6ba35cd283f56300b0661233fd06b42f">
  <xsd:schema xmlns:xsd="http://www.w3.org/2001/XMLSchema" xmlns:xs="http://www.w3.org/2001/XMLSchema" xmlns:p="http://schemas.microsoft.com/office/2006/metadata/properties" xmlns:ns3="bc15b26c-fc17-4b4c-afed-fe782da8ef0a" targetNamespace="http://schemas.microsoft.com/office/2006/metadata/properties" ma:root="true" ma:fieldsID="ae1fa59a69c1722558604008c7672b3d" ns3:_="">
    <xsd:import namespace="bc15b26c-fc17-4b4c-afed-fe782da8ef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b26c-fc17-4b4c-afed-fe782da8e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A33DB-C256-4D74-A9D0-2148FE55C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5b26c-fc17-4b4c-afed-fe782da8e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FC5DE-39E6-4925-BA83-4EF685AF950C}">
  <ds:schemaRefs>
    <ds:schemaRef ds:uri="http://schemas.microsoft.com/sharepoint/v3/contenttype/forms"/>
  </ds:schemaRefs>
</ds:datastoreItem>
</file>

<file path=customXml/itemProps3.xml><?xml version="1.0" encoding="utf-8"?>
<ds:datastoreItem xmlns:ds="http://schemas.openxmlformats.org/officeDocument/2006/customXml" ds:itemID="{C6637FF3-725A-4A8F-9A8C-B9B8D3DC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7879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8983</CharactersWithSpaces>
  <SharedDoc>false</SharedDoc>
  <HLinks>
    <vt:vector size="60" baseType="variant">
      <vt:variant>
        <vt:i4>917585</vt:i4>
      </vt:variant>
      <vt:variant>
        <vt:i4>48</vt:i4>
      </vt:variant>
      <vt:variant>
        <vt:i4>0</vt:i4>
      </vt:variant>
      <vt:variant>
        <vt:i4>5</vt:i4>
      </vt:variant>
      <vt:variant>
        <vt:lpwstr>http://www.leevalleypark.org.uk/</vt:lpwstr>
      </vt:variant>
      <vt:variant>
        <vt:lpwstr/>
      </vt:variant>
      <vt:variant>
        <vt:i4>5963850</vt:i4>
      </vt:variant>
      <vt:variant>
        <vt:i4>45</vt:i4>
      </vt:variant>
      <vt:variant>
        <vt:i4>0</vt:i4>
      </vt:variant>
      <vt:variant>
        <vt:i4>5</vt:i4>
      </vt:variant>
      <vt:variant>
        <vt:lpwstr>http://www.londoncouncils.gov.uk/</vt:lpwstr>
      </vt:variant>
      <vt:variant>
        <vt:lpwstr/>
      </vt:variant>
      <vt:variant>
        <vt:i4>3670076</vt:i4>
      </vt:variant>
      <vt:variant>
        <vt:i4>42</vt:i4>
      </vt:variant>
      <vt:variant>
        <vt:i4>0</vt:i4>
      </vt:variant>
      <vt:variant>
        <vt:i4>5</vt:i4>
      </vt:variant>
      <vt:variant>
        <vt:lpwstr>http://www.lpfa.org.uk/</vt:lpwstr>
      </vt:variant>
      <vt:variant>
        <vt:lpwstr/>
      </vt:variant>
      <vt:variant>
        <vt:i4>7798843</vt:i4>
      </vt:variant>
      <vt:variant>
        <vt:i4>39</vt:i4>
      </vt:variant>
      <vt:variant>
        <vt:i4>0</vt:i4>
      </vt:variant>
      <vt:variant>
        <vt:i4>5</vt:i4>
      </vt:variant>
      <vt:variant>
        <vt:lpwstr>http://www.voa.gov.uk/</vt:lpwstr>
      </vt:variant>
      <vt:variant>
        <vt:lpwstr/>
      </vt:variant>
      <vt:variant>
        <vt:i4>1441848</vt:i4>
      </vt:variant>
      <vt:variant>
        <vt:i4>32</vt:i4>
      </vt:variant>
      <vt:variant>
        <vt:i4>0</vt:i4>
      </vt:variant>
      <vt:variant>
        <vt:i4>5</vt:i4>
      </vt:variant>
      <vt:variant>
        <vt:lpwstr/>
      </vt:variant>
      <vt:variant>
        <vt:lpwstr>_Toc444695166</vt:lpwstr>
      </vt:variant>
      <vt:variant>
        <vt:i4>1441848</vt:i4>
      </vt:variant>
      <vt:variant>
        <vt:i4>26</vt:i4>
      </vt:variant>
      <vt:variant>
        <vt:i4>0</vt:i4>
      </vt:variant>
      <vt:variant>
        <vt:i4>5</vt:i4>
      </vt:variant>
      <vt:variant>
        <vt:lpwstr/>
      </vt:variant>
      <vt:variant>
        <vt:lpwstr>_Toc444695165</vt:lpwstr>
      </vt:variant>
      <vt:variant>
        <vt:i4>1441848</vt:i4>
      </vt:variant>
      <vt:variant>
        <vt:i4>20</vt:i4>
      </vt:variant>
      <vt:variant>
        <vt:i4>0</vt:i4>
      </vt:variant>
      <vt:variant>
        <vt:i4>5</vt:i4>
      </vt:variant>
      <vt:variant>
        <vt:lpwstr/>
      </vt:variant>
      <vt:variant>
        <vt:lpwstr>_Toc444695164</vt:lpwstr>
      </vt:variant>
      <vt:variant>
        <vt:i4>1441848</vt:i4>
      </vt:variant>
      <vt:variant>
        <vt:i4>14</vt:i4>
      </vt:variant>
      <vt:variant>
        <vt:i4>0</vt:i4>
      </vt:variant>
      <vt:variant>
        <vt:i4>5</vt:i4>
      </vt:variant>
      <vt:variant>
        <vt:lpwstr/>
      </vt:variant>
      <vt:variant>
        <vt:lpwstr>_Toc444695162</vt:lpwstr>
      </vt:variant>
      <vt:variant>
        <vt:i4>1441848</vt:i4>
      </vt:variant>
      <vt:variant>
        <vt:i4>8</vt:i4>
      </vt:variant>
      <vt:variant>
        <vt:i4>0</vt:i4>
      </vt:variant>
      <vt:variant>
        <vt:i4>5</vt:i4>
      </vt:variant>
      <vt:variant>
        <vt:lpwstr/>
      </vt:variant>
      <vt:variant>
        <vt:lpwstr>_Toc444695161</vt:lpwstr>
      </vt:variant>
      <vt:variant>
        <vt:i4>1441848</vt:i4>
      </vt:variant>
      <vt:variant>
        <vt:i4>2</vt:i4>
      </vt:variant>
      <vt:variant>
        <vt:i4>0</vt:i4>
      </vt:variant>
      <vt:variant>
        <vt:i4>5</vt:i4>
      </vt:variant>
      <vt:variant>
        <vt:lpwstr/>
      </vt:variant>
      <vt:variant>
        <vt:lpwstr>_Toc444695160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Exeter</dc:creator>
  <cp:keywords/>
  <cp:lastModifiedBy>Hale, Holly</cp:lastModifiedBy>
  <cp:revision>2</cp:revision>
  <cp:lastPrinted>2023-03-14T10:57:00Z</cp:lastPrinted>
  <dcterms:created xsi:type="dcterms:W3CDTF">2024-03-14T17:17:00Z</dcterms:created>
  <dcterms:modified xsi:type="dcterms:W3CDTF">2024-03-14T17:17:00Z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0x010100A7A1C0F6D47A714D9871F827210E95F8</vt:lpwstr>
  </property>
</Properties>
</file>